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440605-2023-10119</w:t>
      </w:r>
    </w:p>
    <w:p>
      <w:pPr>
        <w:jc w:val="center"/>
      </w:pPr>
      <w:r>
        <w:rPr>
          <w:b/>
          <w:sz w:val="24"/>
        </w:rPr>
        <w:t>采购项目编号：</w:t>
      </w:r>
      <w:r>
        <w:rPr>
          <w:b/>
          <w:sz w:val="24"/>
        </w:rPr>
        <w:t>LSZFCG2023031</w:t>
      </w:r>
    </w:p>
    <w:p>
      <w:pPr>
        <w:jc w:val="center"/>
      </w:pPr>
      <w:r>
        <w:rPr>
          <w:b/>
          <w:sz w:val="24"/>
        </w:rPr>
        <w:t>项目名称：</w:t>
      </w:r>
      <w:r>
        <w:rPr>
          <w:b/>
          <w:sz w:val="24"/>
        </w:rPr>
        <w:t>健促员服务外包项目</w:t>
      </w:r>
    </w:p>
    <w:p>
      <w:pPr>
        <w:jc w:val="center"/>
      </w:pPr>
      <w:r>
        <w:rPr>
          <w:b/>
          <w:sz w:val="24"/>
        </w:rPr>
        <w:t>采购人：</w:t>
      </w:r>
      <w:r>
        <w:rPr>
          <w:b/>
          <w:sz w:val="24"/>
        </w:rPr>
        <w:t>佛山市南海区里水镇社区卫生服务中心</w:t>
      </w:r>
    </w:p>
    <w:p>
      <w:pPr>
        <w:jc w:val="center"/>
      </w:pPr>
      <w:r>
        <w:rPr>
          <w:b/>
          <w:sz w:val="24"/>
        </w:rPr>
        <w:t>采购代理机构：</w:t>
      </w:r>
      <w:r>
        <w:rPr>
          <w:b/>
          <w:sz w:val="24"/>
        </w:rPr>
        <w:t>广东嘉燊咨询有限公司</w:t>
      </w:r>
    </w:p>
    <w:p>
      <w:pPr>
        <w:ind w:firstLine="480"/>
      </w:pPr>
    </w:p>
    <w:p>
      <w:r>
        <w:rPr/>
        <w:t xml:space="preserve"> </w:t>
      </w:r>
    </w:p>
    <w:p/>
    <w:p>
      <w:pPr>
        <w:jc w:val="center"/>
      </w:pPr>
      <w:r>
        <w:rPr>
          <w:b/>
          <w:sz w:val="36"/>
        </w:rPr>
        <w:t>第一章 磋商邀请</w:t>
      </w:r>
    </w:p>
    <w:p>
      <w:pPr>
        <w:ind w:firstLine="480"/>
      </w:pPr>
      <w:r>
        <w:rPr/>
        <w:t>广东嘉燊咨询有限公司</w:t>
      </w:r>
      <w:r>
        <w:rPr/>
        <w:t>受</w:t>
      </w:r>
      <w:r>
        <w:rPr/>
        <w:t>佛山市南海区里水镇社区卫生服务中心</w:t>
      </w:r>
      <w:r>
        <w:rPr/>
        <w:t>的委托，采用</w:t>
      </w:r>
      <w:r>
        <w:rPr/>
        <w:t>竞争性磋商</w:t>
      </w:r>
      <w:r>
        <w:rPr/>
        <w:t>方式组织采购</w:t>
      </w:r>
      <w:r>
        <w:rPr/>
        <w:t>健促员服务外包项目</w:t>
      </w:r>
      <w:r>
        <w:rPr/>
        <w:t>。欢迎符合资格条件的供应商参加。</w:t>
      </w:r>
    </w:p>
    <w:p>
      <w:r>
        <w:rPr>
          <w:b/>
          <w:sz w:val="28"/>
        </w:rPr>
        <w:t>一.项目概述</w:t>
      </w:r>
    </w:p>
    <w:p>
      <w:r>
        <w:rPr>
          <w:b/>
          <w:sz w:val="24"/>
        </w:rPr>
        <w:t>1.名称与编号</w:t>
      </w:r>
    </w:p>
    <w:p>
      <w:pPr>
        <w:ind w:firstLine="480"/>
      </w:pPr>
      <w:r>
        <w:rPr/>
        <w:t>采购项目名称：</w:t>
      </w:r>
      <w:r>
        <w:rPr/>
        <w:t>健促员服务外包项目</w:t>
      </w:r>
    </w:p>
    <w:p>
      <w:pPr>
        <w:ind w:firstLine="480"/>
      </w:pPr>
      <w:r>
        <w:rPr/>
        <w:t>采购计划编号：</w:t>
      </w:r>
      <w:r>
        <w:rPr/>
        <w:t>440605-2023-10119</w:t>
      </w:r>
    </w:p>
    <w:p>
      <w:pPr>
        <w:ind w:firstLine="480"/>
      </w:pPr>
      <w:r>
        <w:rPr/>
        <w:t>采购项目编号：</w:t>
      </w:r>
      <w:r>
        <w:rPr/>
        <w:t>LSZFCG2023031</w:t>
      </w:r>
    </w:p>
    <w:p>
      <w:pPr>
        <w:ind w:firstLine="480"/>
      </w:pPr>
      <w:r>
        <w:rPr/>
        <w:t>采购方式：</w:t>
      </w:r>
      <w:r>
        <w:rPr/>
        <w:t>竞争性磋商</w:t>
      </w:r>
    </w:p>
    <w:p>
      <w:pPr>
        <w:ind w:firstLine="480"/>
      </w:pPr>
      <w:r>
        <w:rPr/>
        <w:t>预算金额：</w:t>
      </w:r>
      <w:r>
        <w:rPr/>
        <w:t>1,101,400.00</w:t>
      </w:r>
      <w:r>
        <w:rPr/>
        <w:t>元</w:t>
      </w:r>
    </w:p>
    <w:p>
      <w:r>
        <w:rPr>
          <w:b/>
          <w:sz w:val="24"/>
        </w:rPr>
        <w:t>2.项目内容及需求情况（采购项目技术规格、参数及要求）</w:t>
      </w:r>
    </w:p>
    <w:p>
      <w:pPr>
        <w:ind w:firstLine="480"/>
      </w:pPr>
    </w:p>
    <w:p/>
    <w:p>
      <w:r>
        <w:rPr/>
        <w:t>采购包1(健促员服务外包项目):</w:t>
      </w:r>
    </w:p>
    <w:p>
      <w:r>
        <w:rPr/>
        <w:t>采购包预算金额：1,101,400.00元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r>
              <w:rPr/>
              <w:t>品目号</w:t>
            </w:r>
          </w:p>
        </w:tc>
        <w:tc>
          <w:tcPr>
            <w:tcW w:type="dxa" w:w="1424"/>
          </w:tcPr>
          <w:p>
            <w:r>
              <w:rPr/>
              <w:t>品目名称</w:t>
            </w:r>
          </w:p>
        </w:tc>
        <w:tc>
          <w:tcPr>
            <w:tcW w:type="dxa" w:w="2136"/>
          </w:tcPr>
          <w:p>
            <w:r>
              <w:rPr/>
              <w:t>采购标的</w:t>
            </w:r>
          </w:p>
        </w:tc>
        <w:tc>
          <w:tcPr>
            <w:tcW w:type="dxa" w:w="1187"/>
          </w:tcPr>
          <w:p>
            <w:r>
              <w:rPr/>
              <w:t>数量（单位）</w:t>
            </w:r>
          </w:p>
        </w:tc>
        <w:tc>
          <w:tcPr>
            <w:tcW w:type="dxa" w:w="1187"/>
          </w:tcPr>
          <w:p>
            <w:r>
              <w:rPr/>
              <w:t>技术规格、参数及要求</w:t>
            </w:r>
          </w:p>
        </w:tc>
        <w:tc>
          <w:tcPr>
            <w:tcW w:type="dxa" w:w="1187"/>
          </w:tcPr>
          <w:p>
            <w:r>
              <w:rPr/>
              <w:t>是否允许进口产品</w:t>
            </w:r>
          </w:p>
        </w:tc>
      </w:tr>
      <w:tr>
        <w:tc>
          <w:tcPr>
            <w:tcW w:type="dxa" w:w="1187"/>
          </w:tcPr>
          <w:p>
            <w:r>
              <w:rPr/>
              <w:t>1-1</w:t>
            </w:r>
          </w:p>
        </w:tc>
        <w:tc>
          <w:tcPr>
            <w:tcW w:type="dxa" w:w="1424"/>
          </w:tcPr>
          <w:p>
            <w:r>
              <w:rPr/>
              <w:t>其他服务</w:t>
            </w:r>
          </w:p>
        </w:tc>
        <w:tc>
          <w:tcPr>
            <w:tcW w:type="dxa" w:w="2136"/>
          </w:tcPr>
          <w:p>
            <w:r>
              <w:rPr/>
              <w:t>健促员服务外包项目</w:t>
            </w:r>
          </w:p>
        </w:tc>
        <w:tc>
          <w:tcPr>
            <w:tcW w:type="dxa" w:w="1187"/>
          </w:tcPr>
          <w:p>
            <w:r>
              <w:rPr/>
              <w:t>1.00(项)</w:t>
            </w:r>
          </w:p>
        </w:tc>
        <w:tc>
          <w:tcPr>
            <w:tcW w:type="dxa" w:w="1187"/>
          </w:tcPr>
          <w:p>
            <w:r>
              <w:rPr/>
              <w:t>详见第二章</w:t>
            </w:r>
          </w:p>
        </w:tc>
        <w:tc>
          <w:tcPr>
            <w:tcW w:type="dxa" w:w="1187"/>
          </w:tcPr>
          <w:p>
            <w:r>
              <w:rPr/>
              <w:t>否</w:t>
            </w:r>
          </w:p>
        </w:tc>
      </w:tr>
    </w:tbl>
    <w:p/>
    <w:p>
      <w:r>
        <w:rPr/>
        <w:t>本采购包不接受联合体响应</w:t>
      </w:r>
    </w:p>
    <w:p/>
    <w:p>
      <w:r>
        <w:rPr/>
        <w:t>合同履行期限：自合同签订之日起一年</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供应商必须是中国大陆境内合法注册的独立法人或其分支机构，分支机构参与投标的需提供具有法人资格的上级公司营业执照副本扫描件及授权书，分支机构可沿用分支机构上级公司或供应商的各项资质、业绩、人员和证书荣誉。且供应商或其分支机构只允许有一家参与投标。投标（响应）时提交有效的营业执照（或事业法人登记证或身份证等相关证明）副本复印件。</w:t>
      </w:r>
    </w:p>
    <w:p/>
    <w:p>
      <w:r>
        <w:rPr/>
        <w:t>2）有依法缴纳税收和社会保障资金的良好记录：提供投标截止日前6个月内任意1个月依法缴纳税收和社会保障资金的相关材料。如依法免税或不需要缴纳社会保障资金的，提供相应证明材料，或提供《政府采购供应商资格信用承诺函》（承诺函格式见招标公告电子版附件）。</w:t>
      </w:r>
    </w:p>
    <w:p/>
    <w:p>
      <w:r>
        <w:rPr/>
        <w:t>3）具有良好的商业信誉和健全的财务会计制度：提供2022年度财务状况报告或2023年至磋商截止日期前任意一月的财务状况报表（至少包含资产负债表、利润表和现金流量表）或基本开户行出具的资信证明，或提供《政府采购供应商资格信用承诺函》（承诺函格式见招标公告电子版附件）。</w:t>
      </w:r>
    </w:p>
    <w:p/>
    <w:p>
      <w:r>
        <w:rPr/>
        <w:t>4）履行合同所必需的设备和专业技术能力：按投标（响应）文件格式填报设备及专业技术能力情况。</w:t>
      </w:r>
    </w:p>
    <w:p/>
    <w:p>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采购包1（健促员服务外包项目）：</w:t>
      </w:r>
      <w:r>
        <w:rPr/>
        <w:t>本项目属于专门面向中小企业的采购项目。中小企业具体标准根据《工业和信息化部、国家统计局、国家发展和改革委员会、财政部关于印发中小企业划型标准规定的通知》（工信部联企业〔2011〕300号）文件进行划分；监狱企业根据（财库〔2014〕68号）的规定；残疾人福利性单位根据（财库〔2017〕141号）的规定。提供有效的中小企业声明函（或残疾人福利性单位声明函或监狱企业证明文件），否则不予认定。本项目标的按照《中小企业划分标准规定》（工信部联企业[2011]300号）划分行业为：其他未列明行业。</w:t>
      </w:r>
    </w:p>
    <w:p/>
    <w:p>
      <w:r>
        <w:rPr>
          <w:b/>
          <w:sz w:val="24"/>
        </w:rPr>
        <w:t>3.本项目特定的资格要求：</w:t>
      </w:r>
    </w:p>
    <w:p>
      <w:pPr>
        <w:ind w:firstLine="480"/>
      </w:pPr>
    </w:p>
    <w:p/>
    <w:p>
      <w:r>
        <w:rPr/>
        <w:t>采购包1（健促员服务外包项目）：</w:t>
      </w:r>
    </w:p>
    <w:p/>
    <w:p>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函相关承诺要求内容。（提供《响应承诺函》）</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r>
        <w:rPr/>
        <w:t>佛山市公共资源交易网（http://ggzy.foshan.gov.cn/），佛山市公共资源交易中心南海分中心（http://www.nhggzy.cn/jyh/ggzy），广东嘉燊咨询有限公司网站（http://www.gdjszx.cn）</w:t>
      </w:r>
    </w:p>
    <w:p>
      <w:r>
        <w:rPr>
          <w:b/>
          <w:sz w:val="28"/>
        </w:rPr>
        <w:t>六.本项目联系方式：</w:t>
      </w:r>
    </w:p>
    <w:p>
      <w:r>
        <w:rPr>
          <w:b/>
          <w:sz w:val="24"/>
        </w:rPr>
        <w:t>1.采购人信息</w:t>
      </w:r>
    </w:p>
    <w:p>
      <w:pPr>
        <w:ind w:firstLine="480"/>
      </w:pPr>
      <w:r>
        <w:rPr/>
        <w:t>名称：</w:t>
      </w:r>
      <w:r>
        <w:rPr/>
        <w:t>佛山市南海区里水镇社区卫生服务中心</w:t>
      </w:r>
    </w:p>
    <w:p>
      <w:pPr>
        <w:ind w:firstLine="480"/>
      </w:pPr>
      <w:r>
        <w:rPr/>
        <w:t>地址：</w:t>
      </w:r>
      <w:r>
        <w:rPr/>
        <w:t>佛山市南海区里水镇和顺安康路7号</w:t>
      </w:r>
    </w:p>
    <w:p>
      <w:pPr>
        <w:ind w:firstLine="480"/>
      </w:pPr>
      <w:r>
        <w:rPr/>
        <w:t>联系方式：</w:t>
      </w:r>
      <w:r>
        <w:rPr/>
        <w:t>0757-85631336</w:t>
      </w:r>
    </w:p>
    <w:p>
      <w:r>
        <w:rPr>
          <w:b/>
          <w:sz w:val="24"/>
        </w:rPr>
        <w:t>2.采购代理机构信息</w:t>
      </w:r>
    </w:p>
    <w:p>
      <w:pPr>
        <w:ind w:firstLine="480"/>
      </w:pPr>
      <w:r>
        <w:rPr/>
        <w:t>名称：</w:t>
      </w:r>
      <w:r>
        <w:rPr/>
        <w:t>广东嘉燊咨询有限公司</w:t>
      </w:r>
    </w:p>
    <w:p>
      <w:pPr>
        <w:ind w:firstLine="480"/>
      </w:pPr>
      <w:r>
        <w:rPr/>
        <w:t>地址：</w:t>
      </w:r>
      <w:r>
        <w:rPr/>
        <w:t>广东省佛山市南海区佛山市南海区桂城街道华翠南路18号B09室自编B室(住所申报)</w:t>
      </w:r>
    </w:p>
    <w:p>
      <w:pPr>
        <w:ind w:firstLine="480"/>
      </w:pPr>
      <w:r>
        <w:rPr/>
        <w:t>联系方式：</w:t>
      </w:r>
      <w:r>
        <w:rPr/>
        <w:t>0757-86223223</w:t>
      </w:r>
    </w:p>
    <w:p>
      <w:r>
        <w:rPr>
          <w:b/>
          <w:sz w:val="24"/>
        </w:rPr>
        <w:t>3.项目联系方式</w:t>
      </w:r>
    </w:p>
    <w:p>
      <w:pPr>
        <w:ind w:firstLine="480"/>
      </w:pPr>
      <w:r>
        <w:rPr/>
        <w:t>项目联系人：</w:t>
      </w:r>
      <w:r>
        <w:rPr/>
        <w:t>陈工</w:t>
      </w:r>
    </w:p>
    <w:p>
      <w:pPr>
        <w:ind w:firstLine="480"/>
      </w:pPr>
      <w:r>
        <w:rPr/>
        <w:t>电话：</w:t>
      </w:r>
      <w:r>
        <w:rPr/>
        <w:t>0757-86223223</w:t>
      </w:r>
    </w:p>
    <w:p>
      <w:r>
        <w:rPr>
          <w:b/>
          <w:sz w:val="24"/>
        </w:rPr>
        <w:t>4.技术支持联系方式</w:t>
      </w:r>
    </w:p>
    <w:p>
      <w:pPr>
        <w:ind w:firstLine="480"/>
      </w:pPr>
      <w:r>
        <w:rPr/>
        <w:t>云平台联系方式：020-88696588</w:t>
      </w:r>
    </w:p>
    <w:p>
      <w:r>
        <w:rPr/>
        <w:t>采购代理机构：</w:t>
      </w:r>
      <w:r>
        <w:rPr/>
        <w:t>广东嘉燊咨询有限公司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both"/>
      </w:pPr>
      <w:r>
        <w:rPr>
          <w:b/>
          <w:color w:val="000000"/>
          <w:sz w:val="21"/>
        </w:rPr>
        <w:t xml:space="preserve"> 说明：</w:t>
      </w:r>
      <w:r>
        <w:rPr>
          <w:b/>
          <w:sz w:val="21"/>
        </w:rPr>
        <w:t>实质性条款包括本磋商文件涉及采购预算、主要商务要求、带</w:t>
      </w:r>
      <w:r>
        <w:rPr>
          <w:b/>
          <w:sz w:val="21"/>
        </w:rPr>
        <w:t>“★”</w:t>
      </w:r>
      <w:r>
        <w:rPr>
          <w:b/>
          <w:sz w:val="21"/>
        </w:rPr>
        <w:t>的响应条款（如有）及其他视为无效投标的条款。实质性条款为必须满足条款，响应供应商如不能完全响应或负偏离将导致投标无效。</w:t>
      </w:r>
    </w:p>
    <w:p>
      <w:pPr>
        <w:ind w:firstLine="420"/>
        <w:jc w:val="left"/>
      </w:pPr>
      <w:r>
        <w:rPr/>
        <w:t xml:space="preserve"> </w:t>
      </w:r>
    </w:p>
    <w:p>
      <w:pPr>
        <w:ind w:firstLine="420"/>
        <w:jc w:val="left"/>
      </w:pPr>
      <w:r>
        <w:rPr>
          <w:sz w:val="21"/>
        </w:rPr>
        <w:t>佛山市南海区里水镇社区卫生服务中心是佛山市基本医疗保险定点机构，集医疗、预防、保健、康复、健康教育、计划生育指导“六位一体”的综合性社区卫生服务机构。为进一步提升工作效率，完成基本公卫任务，协助中心医务人员开展工作，现采购买健康促进辅助服务。</w:t>
      </w:r>
    </w:p>
    <w:p>
      <w:r>
        <w:rPr>
          <w:sz w:val="21"/>
        </w:rPr>
        <w:t xml:space="preserve">   供应商结合对社区卫生服务中心的专业工作知识培训优化，充分发挥专业优势，有效提升社区卫生服务中心工作流程的效能、质量，保证按时按质配合推动相关工作。</w:t>
      </w:r>
    </w:p>
    <w:p/>
    <w:p>
      <w:pPr>
        <w:ind w:firstLine="480"/>
      </w:pPr>
    </w:p>
    <w:p/>
    <w:p>
      <w:r>
        <w:rPr/>
        <w:t>采购包1（健促员服务外包项目）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自合同签订之日起一年</w:t>
            </w:r>
          </w:p>
        </w:tc>
      </w:tr>
      <w:tr>
        <w:tc>
          <w:tcPr>
            <w:tcW w:type="dxa" w:w="4153"/>
          </w:tcPr>
          <w:p>
            <w:r>
              <w:rPr/>
              <w:t>标的提供的地点</w:t>
            </w:r>
          </w:p>
        </w:tc>
        <w:tc>
          <w:tcPr>
            <w:tcW w:type="dxa" w:w="4153"/>
          </w:tcPr>
          <w:p/>
          <w:p>
            <w:r>
              <w:rPr/>
              <w:t>采购人（用户）指定地点（佛山市内）</w:t>
            </w:r>
          </w:p>
        </w:tc>
      </w:tr>
      <w:tr>
        <w:tc>
          <w:tcPr>
            <w:tcW w:type="dxa" w:w="4153"/>
          </w:tcPr>
          <w:p>
            <w:r>
              <w:rPr/>
              <w:t>付款方式</w:t>
            </w:r>
          </w:p>
        </w:tc>
        <w:tc>
          <w:tcPr>
            <w:tcW w:type="dxa" w:w="4153"/>
          </w:tcPr>
          <w:p/>
          <w:p/>
          <w:p>
            <w:r>
              <w:rPr/>
              <w:t>1期：支付比例100%,由采购人按下列程序付款： 1.服务期内，由采购人于每月15日前将上月实际费用以转账结算的方式支付给供应商合同约定的账户，如遇节假日则顺延到下一个工作日； 2.供应商须在采购人办理付款手续之前5个工作日内，提供等额的正式发票给采购人，以便采购人及时办理财政付款申请手续； 3.每月服务费支付公式：每月服务费=(合同金额÷12月)-考核后扣罚金额（如有）－违约应扣款（如有）； 4.供应商凭以下有效文件与采购人结算： (1)合同； (2)供应商开具划拨款项等额的正式发票，有效发票必须遵循属地管理原则； (3)成交通知书； (4)采购人要求的其它证明文件；5.收款方、出具发票方、合同乙方均必须与供应商名称一致；6.成交人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c>
          <w:tcPr>
            <w:tcW w:type="dxa" w:w="4153"/>
          </w:tcPr>
          <w:p>
            <w:r>
              <w:rPr/>
              <w:t>验收要求</w:t>
            </w:r>
          </w:p>
        </w:tc>
        <w:tc>
          <w:tcPr>
            <w:tcW w:type="dxa" w:w="4153"/>
          </w:tcPr>
          <w:p/>
          <w:p/>
          <w:p/>
          <w:p>
            <w:r>
              <w:rPr/>
              <w:t>1期：本项目按月进行考核。 采购人在接到成交供应商提交的依法纳税的服务费发票后，结合对成交供应商的服务质量进行付款，采购人支付的服务费用与月度考核挂钩。（采购人有权根据实际情况对本考核办法进行修改与补充）。</w:t>
            </w:r>
          </w:p>
        </w:tc>
      </w:tr>
      <w:tr>
        <w:tc>
          <w:tcPr>
            <w:tcW w:type="dxa" w:w="4153"/>
          </w:tcPr>
          <w:p>
            <w:r>
              <w:rPr/>
              <w:t>履约保证金</w:t>
            </w:r>
          </w:p>
        </w:tc>
        <w:tc>
          <w:tcPr>
            <w:tcW w:type="dxa" w:w="4153"/>
          </w:tcPr>
          <w:p/>
          <w:p/>
          <w:p/>
          <w:p/>
          <w:p>
            <w:r>
              <w:rPr/>
              <w:t>收取比例：3%,说明：成交人与采购人签订合同后 3个工作日内，按一年合同总价的（3%）向采购人提交履约保证金。缴纳形式：应以银行转账或金融机构、担保机构出具的保函等非现金形式向采购人提交履约保证金（履约保证金为合同总额的3%）。如中标供应商以保函方式提交，则保函有效期为：自合同签订生效之日起至交货期满后30日止，保函内容应包括但不限于以下内容：采购人名称、项目名称、中标供应商名称、担保金额、担保期限，保证方式为连带责任保证。如以银行转账方式提交保证金的，成交人没有违约行为，履约保证金在合同有效期满后 30 个工作日内由采购人无息退还成交人，如采购人不能及时退还履约保证金，则应提交书面说明并自逾期退还履约保证金之日起按银行同期存款利率带息退还给成交人。（因中标人自身原因导致不能退还的除外）。若成交人累计3次服务评价为C级的或累计2次服务评价为D级的，采购人有权单方终止合同，履约保证金全部不作退还。 其他要求详见合同。</w:t>
            </w:r>
          </w:p>
          <w:p>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r>
              <w:rPr/>
              <w:t>其他</w:t>
            </w:r>
          </w:p>
        </w:tc>
        <w:tc>
          <w:tcPr>
            <w:tcW w:type="dxa" w:w="4153"/>
          </w:tcPr>
          <w:p/>
          <w:p/>
          <w:p>
            <w:r>
              <w:rPr/>
              <w:t>其他，1、报价要求   （1）本项目各最高限价： 人民币1,101,400.00元 （2）报价方式为本项目目的地的固定总价包干。  （3）投标报价包括但不限于人员经费（工资、津贴补贴、绩效奖、社保、伙食费等）、管理费、税金等所有可预见和不可预见费用。投标总价指供应商为完成本项目所收取的全部费用，每月根据考核及核对后的实际费用情况划付给供应商。 （4）供应商磋商报价不得超过磋商报价上限，否则视为无效响应。 注：磋商小组认为供应商的报价明显低于其他通过符合性审查供应商的报价，有可能影响产品质量或者不能诚信履约的，应当要求其在评审现场合理的时间内提供书面书面，必要时提交相关证明材料；供应商不能证明其报价合理性的，磋商小组应当将当将其作为无效响应处理。</w:t>
            </w: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其他服务</w:t>
            </w:r>
          </w:p>
        </w:tc>
        <w:tc>
          <w:tcPr>
            <w:tcW w:type="dxa" w:w="933"/>
          </w:tcPr>
          <w:p>
            <w:pPr>
              <w:jc w:val="left"/>
            </w:pPr>
            <w:r>
              <w:rPr/>
              <w:t>健促员服务外包项目</w:t>
            </w:r>
          </w:p>
        </w:tc>
        <w:tc>
          <w:tcPr>
            <w:tcW w:type="dxa" w:w="933"/>
          </w:tcPr>
          <w:p>
            <w:pPr>
              <w:jc w:val="left"/>
            </w:pPr>
            <w:r>
              <w:rPr/>
              <w:t>项</w:t>
            </w:r>
          </w:p>
        </w:tc>
        <w:tc>
          <w:tcPr>
            <w:tcW w:type="dxa" w:w="933"/>
          </w:tcPr>
          <w:p>
            <w:pPr>
              <w:jc w:val="right"/>
            </w:pPr>
            <w:r>
              <w:rPr/>
              <w:t>1.00</w:t>
            </w:r>
          </w:p>
        </w:tc>
        <w:tc>
          <w:tcPr>
            <w:tcW w:type="dxa" w:w="933"/>
          </w:tcPr>
          <w:p>
            <w:pPr>
              <w:jc w:val="right"/>
            </w:pPr>
            <w:r>
              <w:rPr/>
              <w:t>1,101,400.00</w:t>
            </w:r>
          </w:p>
        </w:tc>
        <w:tc>
          <w:tcPr>
            <w:tcW w:type="dxa" w:w="933"/>
          </w:tcPr>
          <w:p>
            <w:pPr>
              <w:jc w:val="right"/>
            </w:pPr>
            <w:r>
              <w:rPr/>
              <w:t>1,101,400.00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健促员服务外包项目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b/>
                <w:sz w:val="21"/>
              </w:rPr>
              <w:t>一、项目概况</w:t>
            </w:r>
          </w:p>
          <w:p>
            <w:pPr>
              <w:ind w:firstLine="420"/>
              <w:jc w:val="left"/>
            </w:pPr>
            <w:r>
              <w:rPr>
                <w:sz w:val="21"/>
              </w:rPr>
              <w:t>佛山市南海区里水镇社区卫生服务中心是佛山市基本医疗保险定点机构，集医疗、预防、保健、康复、健康教育、计划生育指导</w:t>
            </w:r>
            <w:r>
              <w:rPr>
                <w:sz w:val="21"/>
              </w:rPr>
              <w:t>“</w:t>
            </w:r>
            <w:r>
              <w:rPr>
                <w:sz w:val="21"/>
              </w:rPr>
              <w:t>六位一体</w:t>
            </w:r>
            <w:r>
              <w:rPr>
                <w:sz w:val="21"/>
              </w:rPr>
              <w:t>”</w:t>
            </w:r>
            <w:r>
              <w:rPr>
                <w:sz w:val="21"/>
              </w:rPr>
              <w:t>的综合性社区卫生服务机构</w:t>
            </w:r>
            <w:r>
              <w:rPr>
                <w:sz w:val="21"/>
              </w:rPr>
              <w:t>。</w:t>
            </w:r>
            <w:r>
              <w:rPr>
                <w:sz w:val="21"/>
              </w:rPr>
              <w:t>为进一步提升工作效率，完成基本公卫任务，协助中心医务人员开展工作</w:t>
            </w:r>
            <w:r>
              <w:rPr>
                <w:sz w:val="21"/>
              </w:rPr>
              <w:t>，</w:t>
            </w:r>
            <w:r>
              <w:rPr>
                <w:sz w:val="21"/>
              </w:rPr>
              <w:t>现采购</w:t>
            </w:r>
            <w:r>
              <w:rPr>
                <w:sz w:val="21"/>
              </w:rPr>
              <w:t>买健康促进辅助服务</w:t>
            </w:r>
            <w:r>
              <w:rPr>
                <w:sz w:val="21"/>
              </w:rPr>
              <w:t>。</w:t>
            </w:r>
          </w:p>
          <w:p>
            <w:pPr>
              <w:ind w:firstLine="420"/>
              <w:jc w:val="left"/>
            </w:pPr>
            <w:r>
              <w:rPr>
                <w:sz w:val="21"/>
              </w:rPr>
              <w:t>供应商结合对社区卫生服务中心的专业工作知识培训优化，充分发挥专业优势，有效提升社区卫生服务中心工作流程的效能、质量，保证按时按质配合推动相关工作。</w:t>
            </w:r>
          </w:p>
        </w:tc>
      </w:tr>
      <w:tr>
        <w:tc>
          <w:tcPr>
            <w:tcW w:type="dxa" w:w="2076"/>
          </w:tcPr>
          <w:p/>
        </w:tc>
        <w:tc>
          <w:tcPr>
            <w:tcW w:type="dxa" w:w="415"/>
          </w:tcPr>
          <w:p>
            <w:r>
              <w:rPr/>
              <w:t>2</w:t>
            </w:r>
          </w:p>
        </w:tc>
        <w:tc>
          <w:tcPr>
            <w:tcW w:type="dxa" w:w="5814"/>
          </w:tcPr>
          <w:p>
            <w:pPr>
              <w:jc w:val="left"/>
            </w:pPr>
            <w:r>
              <w:rPr>
                <w:b/>
                <w:sz w:val="21"/>
              </w:rPr>
              <w:t>二、服务需求</w:t>
            </w:r>
          </w:p>
          <w:p>
            <w:pPr>
              <w:ind w:firstLine="211"/>
              <w:jc w:val="both"/>
            </w:pPr>
            <w:r>
              <w:rPr>
                <w:b/>
                <w:sz w:val="21"/>
              </w:rPr>
              <w:t>1</w:t>
            </w:r>
            <w:r>
              <w:rPr>
                <w:b/>
                <w:sz w:val="21"/>
              </w:rPr>
              <w:t>、服务人员配置及要求：</w:t>
            </w:r>
          </w:p>
          <w:p>
            <w:pPr>
              <w:ind w:firstLine="443"/>
              <w:jc w:val="both"/>
            </w:pPr>
            <w:r>
              <w:rPr>
                <w:b/>
                <w:sz w:val="21"/>
              </w:rPr>
              <w:t>★</w:t>
            </w:r>
            <w:r>
              <w:rPr>
                <w:sz w:val="21"/>
              </w:rPr>
              <w:t>（</w:t>
            </w:r>
            <w:r>
              <w:rPr>
                <w:sz w:val="21"/>
              </w:rPr>
              <w:t>1</w:t>
            </w:r>
            <w:r>
              <w:rPr>
                <w:sz w:val="21"/>
              </w:rPr>
              <w:t>）</w:t>
            </w:r>
            <w:r>
              <w:rPr>
                <w:sz w:val="21"/>
              </w:rPr>
              <w:t>文员配置</w:t>
            </w:r>
            <w:r>
              <w:rPr>
                <w:sz w:val="21"/>
              </w:rPr>
              <w:t>15</w:t>
            </w:r>
            <w:r>
              <w:rPr>
                <w:sz w:val="21"/>
              </w:rPr>
              <w:t>人，文员实施每周</w:t>
            </w:r>
            <w:r>
              <w:rPr>
                <w:sz w:val="21"/>
              </w:rPr>
              <w:t>5.5</w:t>
            </w:r>
            <w:r>
              <w:rPr>
                <w:sz w:val="21"/>
              </w:rPr>
              <w:t>天工作制。</w:t>
            </w:r>
          </w:p>
          <w:p>
            <w:pPr>
              <w:ind w:firstLine="443"/>
              <w:jc w:val="both"/>
            </w:pPr>
            <w:r>
              <w:rPr>
                <w:sz w:val="21"/>
              </w:rPr>
              <w:t xml:space="preserve"> （</w:t>
            </w:r>
            <w:r>
              <w:rPr>
                <w:sz w:val="21"/>
              </w:rPr>
              <w:t>2</w:t>
            </w:r>
            <w:r>
              <w:rPr>
                <w:sz w:val="21"/>
              </w:rPr>
              <w:t>）服务人员配置计划表</w:t>
            </w:r>
          </w:p>
          <w:tbl>
            <w:tblPr>
              <w:tblInd w:type="dxa" w:w="120"/>
              <w:tblBorders>
                <w:top w:val="none" w:color="000000" w:sz="4"/>
                <w:left w:val="none" w:color="000000" w:sz="4"/>
                <w:bottom w:val="none" w:color="000000" w:sz="4"/>
                <w:right w:val="none" w:color="000000" w:sz="4"/>
                <w:insideH w:val="none"/>
                <w:insideV w:val="none"/>
              </w:tblBorders>
            </w:tblPr>
            <w:tblGrid>
              <w:gridCol w:w="735"/>
              <w:gridCol w:w="870"/>
              <w:gridCol w:w="1110"/>
              <w:gridCol w:w="1005"/>
              <w:gridCol w:w="1830"/>
            </w:tblGrid>
            <w:tr>
              <w:tc>
                <w:tcPr>
                  <w:tcW w:type="dxa" w:w="735"/>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980"/>
                  <w:gridSpan w:val="2"/>
                  <w:tcBorders>
                    <w:top w:val="single" w:color="000000" w:sz="4"/>
                    <w:left w:val="none" w:color="000000" w:sz="4"/>
                    <w:bottom w:val="single" w:color="000000" w:sz="4"/>
                    <w:right w:val="single" w:color="000000" w:sz="4"/>
                  </w:tcBorders>
                  <w:vAlign w:val="top"/>
                </w:tcPr>
                <w:p>
                  <w:pPr>
                    <w:jc w:val="center"/>
                  </w:pPr>
                  <w:r>
                    <w:rPr>
                      <w:b/>
                      <w:sz w:val="21"/>
                    </w:rPr>
                    <w:t>区域</w:t>
                  </w:r>
                </w:p>
              </w:tc>
              <w:tc>
                <w:tcPr>
                  <w:tcW w:type="dxa" w:w="1005"/>
                  <w:tcBorders>
                    <w:top w:val="single" w:color="000000" w:sz="4"/>
                    <w:left w:val="none" w:color="000000" w:sz="4"/>
                    <w:bottom w:val="single" w:color="000000" w:sz="4"/>
                    <w:right w:val="single" w:color="000000" w:sz="4"/>
                  </w:tcBorders>
                  <w:vAlign w:val="top"/>
                </w:tcPr>
                <w:p>
                  <w:pPr>
                    <w:jc w:val="center"/>
                  </w:pPr>
                  <w:r>
                    <w:rPr>
                      <w:b/>
                      <w:sz w:val="21"/>
                    </w:rPr>
                    <w:t>配置人数</w:t>
                  </w:r>
                </w:p>
              </w:tc>
              <w:tc>
                <w:tcPr>
                  <w:tcW w:type="dxa" w:w="1830"/>
                  <w:tcBorders>
                    <w:top w:val="single" w:color="000000" w:sz="4"/>
                    <w:left w:val="none" w:color="000000" w:sz="4"/>
                    <w:bottom w:val="single" w:color="000000" w:sz="4"/>
                    <w:right w:val="single" w:color="000000" w:sz="4"/>
                  </w:tcBorders>
                  <w:vAlign w:val="top"/>
                </w:tcPr>
                <w:p>
                  <w:pPr>
                    <w:jc w:val="center"/>
                  </w:pPr>
                  <w:r>
                    <w:rPr>
                      <w:b/>
                      <w:sz w:val="21"/>
                    </w:rPr>
                    <w:t>名称</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1</w:t>
                  </w:r>
                </w:p>
              </w:tc>
              <w:tc>
                <w:tcPr>
                  <w:tcW w:type="dxa" w:w="870"/>
                  <w:vMerge w:val="restart"/>
                  <w:tcBorders>
                    <w:top w:val="none" w:color="000000" w:sz="4"/>
                    <w:left w:val="none" w:color="000000" w:sz="4"/>
                    <w:bottom w:val="none" w:color="000000" w:sz="4"/>
                    <w:right w:val="single" w:color="000000" w:sz="4"/>
                  </w:tcBorders>
                  <w:vAlign w:val="top"/>
                </w:tcPr>
                <w:p>
                  <w:pPr>
                    <w:jc w:val="center"/>
                  </w:pPr>
                  <w:r>
                    <w:rPr>
                      <w:sz w:val="21"/>
                    </w:rPr>
                    <w:t>社</w:t>
                  </w:r>
                  <w:r>
                    <w:rPr>
                      <w:sz w:val="21"/>
                    </w:rPr>
                    <w:t>区</w:t>
                  </w:r>
                  <w:r>
                    <w:rPr>
                      <w:sz w:val="21"/>
                    </w:rPr>
                    <w:t>站</w:t>
                  </w:r>
                  <w:r>
                    <w:rPr>
                      <w:sz w:val="21"/>
                    </w:rPr>
                    <w:t>/</w:t>
                  </w:r>
                  <w:r>
                    <w:rPr>
                      <w:sz w:val="21"/>
                    </w:rPr>
                    <w:t>职 能 科 室</w:t>
                  </w: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医疗科</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singl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2</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公卫科</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3</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防保科</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4</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大冲社区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5</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麻奢社区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6</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甘蕉社区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7</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文教社区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8</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里水社区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9</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金溪社区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洲村社区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11</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和桂社区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12</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河村社区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13</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沙涌社区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14</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胜利社区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735"/>
                  <w:tcBorders>
                    <w:top w:val="none" w:color="000000" w:sz="4"/>
                    <w:left w:val="single" w:color="000000" w:sz="4"/>
                    <w:bottom w:val="single" w:color="000000" w:sz="4"/>
                    <w:right w:val="single" w:color="000000" w:sz="4"/>
                  </w:tcBorders>
                  <w:vAlign w:val="top"/>
                </w:tcPr>
                <w:p>
                  <w:pPr>
                    <w:jc w:val="center"/>
                  </w:pPr>
                  <w:r>
                    <w:rPr>
                      <w:sz w:val="21"/>
                    </w:rPr>
                    <w:t>15</w:t>
                  </w:r>
                </w:p>
              </w:tc>
              <w:tc>
                <w:tcPr>
                  <w:tcW w:type="dxa" w:w="870"/>
                  <w:vMerge/>
                  <w:tcBorders>
                    <w:top w:val="none" w:color="000000" w:sz="4"/>
                    <w:left w:val="none" w:color="000000" w:sz="4"/>
                    <w:bottom w:val="none" w:color="000000" w:sz="4"/>
                    <w:right w:val="single" w:color="000000" w:sz="4"/>
                  </w:tcBorders>
                </w:tcPr>
                <w:p/>
              </w:tc>
              <w:tc>
                <w:tcPr>
                  <w:tcW w:type="dxa" w:w="1110"/>
                  <w:tcBorders>
                    <w:top w:val="none" w:color="000000" w:sz="4"/>
                    <w:left w:val="none" w:color="000000" w:sz="4"/>
                    <w:bottom w:val="single" w:color="000000" w:sz="4"/>
                    <w:right w:val="single" w:color="000000" w:sz="4"/>
                  </w:tcBorders>
                  <w:vAlign w:val="top"/>
                </w:tcPr>
                <w:p>
                  <w:pPr>
                    <w:jc w:val="center"/>
                  </w:pPr>
                  <w:r>
                    <w:rPr>
                      <w:color w:val="000000"/>
                      <w:sz w:val="21"/>
                    </w:rPr>
                    <w:t>宏岗社区</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文员</w:t>
                  </w:r>
                </w:p>
              </w:tc>
            </w:tr>
            <w:tr>
              <w:tc>
                <w:tcPr>
                  <w:tcW w:type="dxa" w:w="2715"/>
                  <w:gridSpan w:val="3"/>
                  <w:tcBorders>
                    <w:top w:val="none" w:color="000000" w:sz="4"/>
                    <w:left w:val="single" w:color="000000" w:sz="4"/>
                    <w:bottom w:val="single" w:color="000000" w:sz="4"/>
                    <w:right w:val="single" w:color="000000" w:sz="4"/>
                  </w:tcBorders>
                  <w:vAlign w:val="top"/>
                </w:tcPr>
                <w:p>
                  <w:pPr>
                    <w:jc w:val="center"/>
                  </w:pPr>
                  <w:r>
                    <w:rPr>
                      <w:sz w:val="21"/>
                    </w:rPr>
                    <w:t>合计</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15</w:t>
                  </w:r>
                </w:p>
              </w:tc>
              <w:tc>
                <w:tcPr>
                  <w:tcW w:type="dxa" w:w="1830"/>
                  <w:tcBorders>
                    <w:top w:val="none" w:color="000000" w:sz="4"/>
                    <w:left w:val="none" w:color="000000" w:sz="4"/>
                    <w:bottom w:val="single" w:color="000000" w:sz="4"/>
                    <w:right w:val="single" w:color="000000" w:sz="4"/>
                  </w:tcBorders>
                  <w:vAlign w:val="top"/>
                </w:tcPr>
                <w:p>
                  <w:pPr>
                    <w:jc w:val="center"/>
                  </w:pPr>
                  <w:r>
                    <w:rPr>
                      <w:sz w:val="21"/>
                    </w:rPr>
                    <w:t>-</w:t>
                  </w:r>
                </w:p>
              </w:tc>
            </w:tr>
          </w:tbl>
          <w:p>
            <w:pPr>
              <w:jc w:val="both"/>
            </w:pPr>
            <w:r>
              <w:rPr>
                <w:b/>
                <w:sz w:val="21"/>
              </w:rPr>
              <w:t>2</w:t>
            </w:r>
            <w:r>
              <w:rPr>
                <w:b/>
                <w:sz w:val="21"/>
              </w:rPr>
              <w:t>、人员配置要求：</w:t>
            </w:r>
          </w:p>
          <w:p>
            <w:pPr>
              <w:ind w:firstLine="420"/>
              <w:jc w:val="both"/>
            </w:pPr>
            <w:r>
              <w:rPr>
                <w:sz w:val="21"/>
              </w:rPr>
              <w:t>（</w:t>
            </w:r>
            <w:r>
              <w:rPr>
                <w:sz w:val="21"/>
              </w:rPr>
              <w:t>1</w:t>
            </w:r>
            <w:r>
              <w:rPr>
                <w:sz w:val="21"/>
              </w:rPr>
              <w:t>）文员：年龄</w:t>
            </w:r>
            <w:r>
              <w:rPr>
                <w:sz w:val="21"/>
              </w:rPr>
              <w:t>35</w:t>
            </w:r>
            <w:r>
              <w:rPr>
                <w:sz w:val="21"/>
              </w:rPr>
              <w:t>岁（含）以下，具有中专及以上学历，具有</w:t>
            </w:r>
            <w:r>
              <w:rPr>
                <w:sz w:val="21"/>
              </w:rPr>
              <w:t>1</w:t>
            </w:r>
            <w:r>
              <w:rPr>
                <w:sz w:val="21"/>
              </w:rPr>
              <w:t>年以上文职</w:t>
            </w:r>
            <w:r>
              <w:rPr>
                <w:sz w:val="21"/>
              </w:rPr>
              <w:t>工作经验，有较强的沟通和学习能力，条件优秀者可放宽至</w:t>
            </w:r>
            <w:r>
              <w:rPr>
                <w:sz w:val="21"/>
              </w:rPr>
              <w:t>40</w:t>
            </w:r>
            <w:r>
              <w:rPr>
                <w:sz w:val="21"/>
              </w:rPr>
              <w:t>岁</w:t>
            </w:r>
            <w:r>
              <w:rPr>
                <w:sz w:val="21"/>
              </w:rPr>
              <w:t>，原签约已派驻站点工作文员年龄不受限制</w:t>
            </w:r>
            <w:r>
              <w:rPr>
                <w:sz w:val="21"/>
              </w:rPr>
              <w:t>。</w:t>
            </w:r>
          </w:p>
          <w:p>
            <w:pPr>
              <w:ind w:firstLine="420"/>
              <w:jc w:val="both"/>
            </w:pPr>
            <w:r>
              <w:rPr>
                <w:sz w:val="21"/>
              </w:rPr>
              <w:t>（</w:t>
            </w:r>
            <w:r>
              <w:rPr>
                <w:sz w:val="21"/>
              </w:rPr>
              <w:t>2</w:t>
            </w:r>
            <w:r>
              <w:rPr>
                <w:sz w:val="21"/>
              </w:rPr>
              <w:t>）拟派服务人员具有良好的职业道德和服务态度，语言文明，形象良好，对医务人员、患者和家属要以礼相待。</w:t>
            </w:r>
          </w:p>
          <w:p>
            <w:pPr>
              <w:ind w:firstLine="420"/>
              <w:jc w:val="both"/>
            </w:pPr>
            <w:r>
              <w:rPr>
                <w:sz w:val="21"/>
              </w:rPr>
              <w:t>（</w:t>
            </w:r>
            <w:r>
              <w:rPr>
                <w:sz w:val="21"/>
              </w:rPr>
              <w:t>3</w:t>
            </w:r>
            <w:r>
              <w:rPr>
                <w:sz w:val="21"/>
              </w:rPr>
              <w:t>）拟派服务人员要求：无传染性疾病、遵纪守法、品行良好、无违法犯罪记录、无精神病史。</w:t>
            </w:r>
          </w:p>
          <w:p>
            <w:pPr>
              <w:ind w:firstLine="441"/>
              <w:jc w:val="both"/>
            </w:pPr>
            <w:r>
              <w:rPr>
                <w:sz w:val="21"/>
              </w:rPr>
              <w:t>（</w:t>
            </w:r>
            <w:r>
              <w:rPr>
                <w:sz w:val="21"/>
              </w:rPr>
              <w:t>4</w:t>
            </w:r>
            <w:r>
              <w:rPr>
                <w:sz w:val="21"/>
              </w:rPr>
              <w:t>）服务人员工作的管理，由采购人与成交人共同完成，采购人负责日常技术支持与日常监督；成交人</w:t>
            </w:r>
            <w:r>
              <w:rPr>
                <w:sz w:val="21"/>
              </w:rPr>
              <w:t>须派一位项目经理</w:t>
            </w:r>
            <w:r>
              <w:rPr>
                <w:sz w:val="21"/>
              </w:rPr>
              <w:t>负责服务人员日常管理，根据采购人的服务计划开展相应的业务服务。</w:t>
            </w:r>
          </w:p>
          <w:p>
            <w:pPr>
              <w:ind w:firstLine="441"/>
              <w:jc w:val="both"/>
            </w:pPr>
            <w:r>
              <w:rPr>
                <w:sz w:val="21"/>
              </w:rPr>
              <w:t>（</w:t>
            </w:r>
            <w:r>
              <w:rPr>
                <w:sz w:val="21"/>
              </w:rPr>
              <w:t>5</w:t>
            </w:r>
            <w:r>
              <w:rPr>
                <w:sz w:val="21"/>
              </w:rPr>
              <w:t>）成交人提供的服务人员必须服从采购人的安排和管理。</w:t>
            </w:r>
          </w:p>
          <w:p>
            <w:pPr>
              <w:jc w:val="both"/>
            </w:pPr>
            <w:r>
              <w:rPr>
                <w:b/>
                <w:sz w:val="21"/>
              </w:rPr>
              <w:t>★3</w:t>
            </w:r>
            <w:r>
              <w:rPr>
                <w:b/>
                <w:sz w:val="21"/>
              </w:rPr>
              <w:t>、成交人须保证工作质量及服务人员的正常休息，成交人不得以采用顶班支付加班费等方式来解决服务人员缺失问题。采购方支付成交人服务费一律按每月实际到位服务人数支付。当连续</w:t>
            </w:r>
            <w:r>
              <w:rPr>
                <w:b/>
                <w:sz w:val="21"/>
              </w:rPr>
              <w:t>2</w:t>
            </w:r>
            <w:r>
              <w:rPr>
                <w:b/>
                <w:sz w:val="21"/>
              </w:rPr>
              <w:t>个月，投入项目的服务人员未能及时到位，或服务人员实际数量、能力不能与项目匹配，采购人有权单方终止合同，履约保证金全部不作退还。</w:t>
            </w:r>
          </w:p>
        </w:tc>
      </w:tr>
      <w:tr>
        <w:tc>
          <w:tcPr>
            <w:tcW w:type="dxa" w:w="2076"/>
          </w:tcPr>
          <w:p/>
        </w:tc>
        <w:tc>
          <w:tcPr>
            <w:tcW w:type="dxa" w:w="415"/>
          </w:tcPr>
          <w:p>
            <w:r>
              <w:rPr/>
              <w:t>3</w:t>
            </w:r>
          </w:p>
        </w:tc>
        <w:tc>
          <w:tcPr>
            <w:tcW w:type="dxa" w:w="5814"/>
          </w:tcPr>
          <w:p>
            <w:pPr>
              <w:jc w:val="left"/>
            </w:pPr>
            <w:r>
              <w:rPr>
                <w:b/>
                <w:sz w:val="21"/>
              </w:rPr>
              <w:t>三、服务内容及要求</w:t>
            </w:r>
          </w:p>
          <w:p>
            <w:pPr>
              <w:jc w:val="left"/>
            </w:pPr>
            <w:r>
              <w:rPr>
                <w:b/>
                <w:sz w:val="21"/>
              </w:rPr>
              <w:t>1</w:t>
            </w:r>
            <w:r>
              <w:rPr>
                <w:b/>
                <w:sz w:val="21"/>
              </w:rPr>
              <w:t>、健促员文员具体服务内容及要求：</w:t>
            </w:r>
          </w:p>
          <w:p>
            <w:pPr>
              <w:jc w:val="left"/>
            </w:pPr>
            <w:r>
              <w:rPr>
                <w:b/>
                <w:sz w:val="21"/>
              </w:rPr>
              <w:t>A:</w:t>
            </w:r>
            <w:r>
              <w:rPr>
                <w:b/>
                <w:sz w:val="21"/>
              </w:rPr>
              <w:t>健促员文员具体服务内容</w:t>
            </w:r>
          </w:p>
          <w:p>
            <w:pPr>
              <w:ind w:firstLine="420"/>
              <w:jc w:val="both"/>
            </w:pPr>
            <w:r>
              <w:rPr>
                <w:sz w:val="21"/>
              </w:rPr>
              <w:t>（</w:t>
            </w:r>
            <w:r>
              <w:rPr>
                <w:sz w:val="21"/>
              </w:rPr>
              <w:t>1</w:t>
            </w:r>
            <w:r>
              <w:rPr>
                <w:sz w:val="21"/>
              </w:rPr>
              <w:t>）居民健康档案管理</w:t>
            </w:r>
          </w:p>
          <w:p>
            <w:pPr>
              <w:ind w:firstLine="420"/>
              <w:jc w:val="left"/>
            </w:pPr>
            <w:r>
              <w:rPr>
                <w:sz w:val="21"/>
              </w:rPr>
              <w:t>系统规范录入个人基本信息、健康体检、重点人群健康管理记录，实时更新电子健康档案死亡、迁出、失访等信息。</w:t>
            </w:r>
          </w:p>
          <w:p>
            <w:pPr>
              <w:ind w:firstLine="420"/>
              <w:jc w:val="both"/>
            </w:pPr>
            <w:r>
              <w:rPr>
                <w:sz w:val="21"/>
              </w:rPr>
              <w:t>（</w:t>
            </w:r>
            <w:r>
              <w:rPr>
                <w:sz w:val="21"/>
              </w:rPr>
              <w:t>2</w:t>
            </w:r>
            <w:r>
              <w:rPr>
                <w:sz w:val="21"/>
              </w:rPr>
              <w:t>）</w:t>
            </w:r>
            <w:r>
              <w:rPr>
                <w:sz w:val="21"/>
              </w:rPr>
              <w:t>65</w:t>
            </w:r>
            <w:r>
              <w:rPr>
                <w:sz w:val="21"/>
              </w:rPr>
              <w:t>岁及以上老年人健康管理</w:t>
            </w:r>
          </w:p>
          <w:p>
            <w:pPr>
              <w:ind w:firstLine="420"/>
              <w:jc w:val="left"/>
            </w:pPr>
            <w:r>
              <w:rPr>
                <w:sz w:val="21"/>
              </w:rPr>
              <w:t>系统规范录入健康体检表，实时对老年人的个人基本信息进行建立或信息维护。</w:t>
            </w:r>
          </w:p>
          <w:p>
            <w:pPr>
              <w:ind w:firstLine="420"/>
              <w:jc w:val="both"/>
            </w:pPr>
            <w:r>
              <w:rPr>
                <w:sz w:val="21"/>
              </w:rPr>
              <w:t>（</w:t>
            </w:r>
            <w:r>
              <w:rPr>
                <w:sz w:val="21"/>
              </w:rPr>
              <w:t>3</w:t>
            </w:r>
            <w:r>
              <w:rPr>
                <w:sz w:val="21"/>
              </w:rPr>
              <w:t>）中医药健康管理</w:t>
            </w:r>
          </w:p>
          <w:p>
            <w:pPr>
              <w:ind w:firstLine="420"/>
              <w:jc w:val="left"/>
            </w:pPr>
            <w:r>
              <w:rPr>
                <w:sz w:val="21"/>
              </w:rPr>
              <w:t>系统规范录入中医体质辨识表，实时对老年人的个人基本信息进行建立或信息维护。</w:t>
            </w:r>
          </w:p>
          <w:p>
            <w:pPr>
              <w:ind w:firstLine="420"/>
              <w:jc w:val="both"/>
            </w:pPr>
            <w:r>
              <w:rPr>
                <w:sz w:val="21"/>
              </w:rPr>
              <w:t>（</w:t>
            </w:r>
            <w:r>
              <w:rPr>
                <w:sz w:val="21"/>
              </w:rPr>
              <w:t>4</w:t>
            </w:r>
            <w:r>
              <w:rPr>
                <w:sz w:val="21"/>
              </w:rPr>
              <w:t>）高血压和</w:t>
            </w:r>
            <w:r>
              <w:rPr>
                <w:sz w:val="21"/>
              </w:rPr>
              <w:t>2</w:t>
            </w:r>
            <w:r>
              <w:rPr>
                <w:sz w:val="21"/>
              </w:rPr>
              <w:t>型糖尿病患者管理</w:t>
            </w:r>
          </w:p>
          <w:p>
            <w:pPr>
              <w:ind w:firstLine="420"/>
              <w:jc w:val="left"/>
            </w:pPr>
            <w:r>
              <w:rPr>
                <w:sz w:val="21"/>
              </w:rPr>
              <w:t>系统规范录入高血压和</w:t>
            </w:r>
            <w:r>
              <w:rPr>
                <w:sz w:val="21"/>
              </w:rPr>
              <w:t>2</w:t>
            </w:r>
            <w:r>
              <w:rPr>
                <w:sz w:val="21"/>
              </w:rPr>
              <w:t>型糖尿病患者健康随访表和体检表，定期对录入档案进行质控把关，实时对个人基本信息进行建立或信息维护。</w:t>
            </w:r>
          </w:p>
          <w:p>
            <w:pPr>
              <w:ind w:firstLine="420"/>
              <w:jc w:val="both"/>
            </w:pPr>
            <w:r>
              <w:rPr>
                <w:sz w:val="21"/>
              </w:rPr>
              <w:t>（</w:t>
            </w:r>
            <w:r>
              <w:rPr>
                <w:sz w:val="21"/>
              </w:rPr>
              <w:t>5</w:t>
            </w:r>
            <w:r>
              <w:rPr>
                <w:sz w:val="21"/>
              </w:rPr>
              <w:t>）健康教育（健康素养促进）管理</w:t>
            </w:r>
          </w:p>
          <w:p>
            <w:pPr>
              <w:ind w:firstLine="420"/>
              <w:jc w:val="left"/>
            </w:pPr>
            <w:r>
              <w:rPr>
                <w:sz w:val="21"/>
              </w:rPr>
              <w:t>①</w:t>
            </w:r>
            <w:r>
              <w:rPr>
                <w:sz w:val="21"/>
              </w:rPr>
              <w:t>整理和归档健康教育（健康素养促进）的印刷资料等。</w:t>
            </w:r>
          </w:p>
          <w:p>
            <w:pPr>
              <w:ind w:firstLine="420"/>
              <w:jc w:val="left"/>
            </w:pPr>
            <w:r>
              <w:rPr>
                <w:sz w:val="21"/>
              </w:rPr>
              <w:t>②</w:t>
            </w:r>
            <w:r>
              <w:rPr>
                <w:sz w:val="21"/>
              </w:rPr>
              <w:t>对广告机音像播放进行拍照并填写相关资料等。</w:t>
            </w:r>
          </w:p>
          <w:p>
            <w:pPr>
              <w:ind w:firstLine="420"/>
              <w:jc w:val="left"/>
            </w:pPr>
            <w:r>
              <w:rPr>
                <w:sz w:val="21"/>
              </w:rPr>
              <w:t>③</w:t>
            </w:r>
            <w:r>
              <w:rPr>
                <w:sz w:val="21"/>
              </w:rPr>
              <w:t>监督第三方公司及时张贴宣传海报，拍照记录填写相关资料信息等。</w:t>
            </w:r>
          </w:p>
          <w:p>
            <w:pPr>
              <w:ind w:firstLine="420"/>
              <w:jc w:val="left"/>
            </w:pPr>
            <w:r>
              <w:rPr>
                <w:sz w:val="21"/>
              </w:rPr>
              <w:t>④</w:t>
            </w:r>
            <w:r>
              <w:rPr>
                <w:sz w:val="21"/>
              </w:rPr>
              <w:t>协助医生开展知识讲座、公众健康咨询等活动，拍照记录填写相关资料信息等。</w:t>
            </w:r>
          </w:p>
          <w:p>
            <w:pPr>
              <w:ind w:firstLine="420"/>
              <w:jc w:val="left"/>
            </w:pPr>
            <w:r>
              <w:rPr>
                <w:sz w:val="21"/>
              </w:rPr>
              <w:t>⑤</w:t>
            </w:r>
            <w:r>
              <w:rPr>
                <w:sz w:val="21"/>
              </w:rPr>
              <w:t>填写服务质量评价等资料。</w:t>
            </w:r>
          </w:p>
          <w:p>
            <w:pPr>
              <w:ind w:firstLine="420"/>
              <w:jc w:val="both"/>
            </w:pPr>
            <w:r>
              <w:rPr>
                <w:sz w:val="21"/>
              </w:rPr>
              <w:t>（</w:t>
            </w:r>
            <w:r>
              <w:rPr>
                <w:sz w:val="21"/>
              </w:rPr>
              <w:t>6</w:t>
            </w:r>
            <w:r>
              <w:rPr>
                <w:sz w:val="21"/>
              </w:rPr>
              <w:t>）避孕药具管理</w:t>
            </w:r>
          </w:p>
          <w:p>
            <w:pPr>
              <w:ind w:firstLine="420"/>
              <w:jc w:val="left"/>
            </w:pPr>
            <w:r>
              <w:rPr>
                <w:sz w:val="21"/>
              </w:rPr>
              <w:t>在所在服务社区站，按规范对站内群众进行药具发放，回答相关咨询问题，对群众进行电话随访，对站内群众派发宣传单张或其他资料物品等；以上工作需做好台账管理。</w:t>
            </w:r>
          </w:p>
          <w:p>
            <w:pPr>
              <w:ind w:firstLine="420"/>
              <w:jc w:val="both"/>
            </w:pPr>
            <w:r>
              <w:rPr>
                <w:sz w:val="21"/>
              </w:rPr>
              <w:t>（</w:t>
            </w:r>
            <w:r>
              <w:rPr>
                <w:sz w:val="21"/>
              </w:rPr>
              <w:t>7</w:t>
            </w:r>
            <w:r>
              <w:rPr>
                <w:sz w:val="21"/>
              </w:rPr>
              <w:t>）严重精神障碍患者管理</w:t>
            </w:r>
          </w:p>
          <w:p>
            <w:pPr>
              <w:ind w:firstLine="420"/>
              <w:jc w:val="left"/>
            </w:pPr>
            <w:r>
              <w:rPr>
                <w:sz w:val="21"/>
              </w:rPr>
              <w:t>负责</w:t>
            </w:r>
            <w:r>
              <w:rPr>
                <w:sz w:val="21"/>
              </w:rPr>
              <w:t>0</w:t>
            </w:r>
            <w:r>
              <w:rPr>
                <w:sz w:val="21"/>
              </w:rPr>
              <w:t>级患者管理工作，跟随社区工作人员对辖区患者进行规范随访，正确录入相关资料、做好资料的归档。</w:t>
            </w:r>
          </w:p>
          <w:p>
            <w:pPr>
              <w:ind w:firstLine="420"/>
              <w:jc w:val="both"/>
            </w:pPr>
            <w:r>
              <w:rPr>
                <w:sz w:val="21"/>
              </w:rPr>
              <w:t>（</w:t>
            </w:r>
            <w:r>
              <w:rPr>
                <w:sz w:val="21"/>
              </w:rPr>
              <w:t>8</w:t>
            </w:r>
            <w:r>
              <w:rPr>
                <w:sz w:val="21"/>
              </w:rPr>
              <w:t>）其他文书档案工作</w:t>
            </w:r>
          </w:p>
          <w:p>
            <w:pPr>
              <w:jc w:val="left"/>
            </w:pPr>
            <w:r>
              <w:rPr>
                <w:b/>
                <w:sz w:val="21"/>
              </w:rPr>
              <w:t>B</w:t>
            </w:r>
            <w:r>
              <w:rPr>
                <w:b/>
                <w:sz w:val="21"/>
              </w:rPr>
              <w:t>：健促员文员具体服务要求</w:t>
            </w:r>
          </w:p>
          <w:p>
            <w:pPr>
              <w:ind w:firstLine="210"/>
              <w:jc w:val="both"/>
            </w:pPr>
            <w:r>
              <w:rPr>
                <w:sz w:val="21"/>
              </w:rPr>
              <w:t>（</w:t>
            </w:r>
            <w:r>
              <w:rPr>
                <w:sz w:val="21"/>
              </w:rPr>
              <w:t>1</w:t>
            </w:r>
            <w:r>
              <w:rPr>
                <w:sz w:val="21"/>
              </w:rPr>
              <w:t>）文员录入量要求第一季度规范完成资料录入</w:t>
            </w:r>
            <w:r>
              <w:rPr>
                <w:sz w:val="21"/>
              </w:rPr>
              <w:t>≥</w:t>
            </w:r>
            <w:r>
              <w:rPr>
                <w:sz w:val="21"/>
              </w:rPr>
              <w:t>站点总量</w:t>
            </w:r>
            <w:r>
              <w:rPr>
                <w:sz w:val="21"/>
              </w:rPr>
              <w:t>25%</w:t>
            </w:r>
            <w:r>
              <w:rPr>
                <w:sz w:val="21"/>
              </w:rPr>
              <w:t>，第二季度规范完成资料录入</w:t>
            </w:r>
            <w:r>
              <w:rPr>
                <w:sz w:val="21"/>
              </w:rPr>
              <w:t>≥</w:t>
            </w:r>
            <w:r>
              <w:rPr>
                <w:sz w:val="21"/>
              </w:rPr>
              <w:t>站点总量</w:t>
            </w:r>
            <w:r>
              <w:rPr>
                <w:sz w:val="21"/>
              </w:rPr>
              <w:t>50%</w:t>
            </w:r>
            <w:r>
              <w:rPr>
                <w:sz w:val="21"/>
              </w:rPr>
              <w:t>，第三季度规范完成资料录入</w:t>
            </w:r>
            <w:r>
              <w:rPr>
                <w:sz w:val="21"/>
              </w:rPr>
              <w:t>≥</w:t>
            </w:r>
            <w:r>
              <w:rPr>
                <w:sz w:val="21"/>
              </w:rPr>
              <w:t>站点总量</w:t>
            </w:r>
            <w:r>
              <w:rPr>
                <w:sz w:val="21"/>
              </w:rPr>
              <w:t>75%</w:t>
            </w:r>
            <w:r>
              <w:rPr>
                <w:sz w:val="21"/>
              </w:rPr>
              <w:t>，第四季度规范完成资料录入</w:t>
            </w:r>
            <w:r>
              <w:rPr>
                <w:sz w:val="21"/>
              </w:rPr>
              <w:t>≥</w:t>
            </w:r>
            <w:r>
              <w:rPr>
                <w:sz w:val="21"/>
              </w:rPr>
              <w:t>站点总量</w:t>
            </w:r>
            <w:r>
              <w:rPr>
                <w:sz w:val="21"/>
              </w:rPr>
              <w:t>100%</w:t>
            </w:r>
            <w:r>
              <w:rPr>
                <w:sz w:val="21"/>
              </w:rPr>
              <w:t>。</w:t>
            </w:r>
          </w:p>
          <w:p>
            <w:pPr>
              <w:ind w:firstLine="210"/>
              <w:jc w:val="both"/>
            </w:pPr>
            <w:r>
              <w:rPr>
                <w:sz w:val="21"/>
              </w:rPr>
              <w:t>（</w:t>
            </w:r>
            <w:r>
              <w:rPr>
                <w:sz w:val="21"/>
              </w:rPr>
              <w:t>2</w:t>
            </w:r>
            <w:r>
              <w:rPr>
                <w:sz w:val="21"/>
              </w:rPr>
              <w:t>）系统、资料等录入或填写的信息应正确无误。</w:t>
            </w:r>
          </w:p>
          <w:p>
            <w:pPr>
              <w:ind w:firstLine="210"/>
              <w:jc w:val="both"/>
            </w:pPr>
            <w:r>
              <w:rPr>
                <w:sz w:val="21"/>
              </w:rPr>
              <w:t>（</w:t>
            </w:r>
            <w:r>
              <w:rPr>
                <w:sz w:val="21"/>
              </w:rPr>
              <w:t>3</w:t>
            </w:r>
            <w:r>
              <w:rPr>
                <w:sz w:val="21"/>
              </w:rPr>
              <w:t>）配合社区工作人员开展可能的公卫突发新增工作，整理和归档相关资料。</w:t>
            </w:r>
          </w:p>
        </w:tc>
      </w:tr>
      <w:tr>
        <w:tc>
          <w:tcPr>
            <w:tcW w:type="dxa" w:w="2076"/>
          </w:tcPr>
          <w:p/>
        </w:tc>
        <w:tc>
          <w:tcPr>
            <w:tcW w:type="dxa" w:w="415"/>
          </w:tcPr>
          <w:p>
            <w:r>
              <w:rPr/>
              <w:t>4</w:t>
            </w:r>
          </w:p>
        </w:tc>
        <w:tc>
          <w:tcPr>
            <w:tcW w:type="dxa" w:w="5814"/>
          </w:tcPr>
          <w:p>
            <w:pPr>
              <w:jc w:val="both"/>
            </w:pPr>
            <w:r>
              <w:rPr>
                <w:b/>
                <w:sz w:val="21"/>
              </w:rPr>
              <w:t>四、其他服务要求：</w:t>
            </w:r>
          </w:p>
          <w:p>
            <w:pPr>
              <w:jc w:val="both"/>
            </w:pPr>
            <w:r>
              <w:rPr>
                <w:b/>
                <w:sz w:val="21"/>
              </w:rPr>
              <w:t>1</w:t>
            </w:r>
            <w:r>
              <w:rPr>
                <w:b/>
                <w:sz w:val="21"/>
              </w:rPr>
              <w:t>、成交人的职责要求</w:t>
            </w:r>
          </w:p>
          <w:p>
            <w:pPr>
              <w:ind w:firstLine="420"/>
              <w:jc w:val="both"/>
            </w:pPr>
            <w:r>
              <w:rPr>
                <w:sz w:val="21"/>
              </w:rPr>
              <w:t>（</w:t>
            </w:r>
            <w:r>
              <w:rPr>
                <w:sz w:val="21"/>
              </w:rPr>
              <w:t>1</w:t>
            </w:r>
            <w:r>
              <w:rPr>
                <w:sz w:val="21"/>
              </w:rPr>
              <w:t>）负责所有服务人员的相关信息档案管理，并交给采购人存档备份，采购人不得随意对外泄露。需要更换服务人员时，提前与采购人沟通，经采购人同意后才能更换。若发现人员有</w:t>
            </w:r>
            <w:r>
              <w:rPr>
                <w:sz w:val="21"/>
              </w:rPr>
              <w:t>“</w:t>
            </w:r>
            <w:r>
              <w:rPr>
                <w:sz w:val="21"/>
              </w:rPr>
              <w:t>黄、赌、毒</w:t>
            </w:r>
            <w:r>
              <w:rPr>
                <w:sz w:val="21"/>
              </w:rPr>
              <w:t>”</w:t>
            </w:r>
            <w:r>
              <w:rPr>
                <w:sz w:val="21"/>
              </w:rPr>
              <w:t>等违法行为，采购人有权更换，并追究其行政法律责任，所有服务人员必须体检合格且提供二甲或以上级别医疗机构的体检报告。</w:t>
            </w:r>
          </w:p>
          <w:p>
            <w:pPr>
              <w:ind w:firstLine="420"/>
              <w:jc w:val="both"/>
            </w:pPr>
            <w:r>
              <w:rPr>
                <w:sz w:val="21"/>
              </w:rPr>
              <w:t>（</w:t>
            </w:r>
            <w:r>
              <w:rPr>
                <w:sz w:val="21"/>
              </w:rPr>
              <w:t>2</w:t>
            </w:r>
            <w:r>
              <w:rPr>
                <w:sz w:val="21"/>
              </w:rPr>
              <w:t>）成交人需按本项目要求，针对本项目服务需求的波动及正常的服务人员缺失率等情况，制订服务人员管理规范，保障服务人员实际数量，满足项目需求。</w:t>
            </w:r>
          </w:p>
          <w:p>
            <w:pPr>
              <w:ind w:firstLine="420"/>
              <w:jc w:val="both"/>
            </w:pPr>
            <w:r>
              <w:rPr>
                <w:sz w:val="21"/>
              </w:rPr>
              <w:t>（</w:t>
            </w:r>
            <w:r>
              <w:rPr>
                <w:sz w:val="21"/>
              </w:rPr>
              <w:t>3</w:t>
            </w:r>
            <w:r>
              <w:rPr>
                <w:sz w:val="21"/>
              </w:rPr>
              <w:t>）成交人须每月制定成本、费用使用进度计划、汇总统计记录（报表明细）等，每个月必须交由采购人审核。并配合采购人做好相关工作。</w:t>
            </w:r>
          </w:p>
          <w:p>
            <w:pPr>
              <w:ind w:firstLine="420"/>
              <w:jc w:val="both"/>
            </w:pPr>
            <w:r>
              <w:rPr>
                <w:sz w:val="21"/>
              </w:rPr>
              <w:t>（</w:t>
            </w:r>
            <w:r>
              <w:rPr>
                <w:sz w:val="21"/>
              </w:rPr>
              <w:t>4</w:t>
            </w:r>
            <w:r>
              <w:rPr>
                <w:sz w:val="21"/>
              </w:rPr>
              <w:t>）成交人须在中标通知书发出之日起</w:t>
            </w:r>
            <w:r>
              <w:rPr>
                <w:sz w:val="21"/>
              </w:rPr>
              <w:t>10</w:t>
            </w:r>
            <w:r>
              <w:rPr>
                <w:sz w:val="21"/>
              </w:rPr>
              <w:t>日内，服务人员须到位且人数</w:t>
            </w:r>
            <w:r>
              <w:rPr>
                <w:sz w:val="21"/>
              </w:rPr>
              <w:t>15</w:t>
            </w:r>
            <w:r>
              <w:rPr>
                <w:sz w:val="21"/>
              </w:rPr>
              <w:t>人，保证服务需求与供给在规划期内各时间点上匹配。服务人员名单需交采购人审核。</w:t>
            </w:r>
          </w:p>
          <w:p>
            <w:pPr>
              <w:ind w:firstLine="420"/>
              <w:jc w:val="both"/>
            </w:pPr>
            <w:r>
              <w:rPr>
                <w:sz w:val="21"/>
              </w:rPr>
              <w:t>（</w:t>
            </w:r>
            <w:r>
              <w:rPr>
                <w:sz w:val="21"/>
              </w:rPr>
              <w:t>5</w:t>
            </w:r>
            <w:r>
              <w:rPr>
                <w:sz w:val="21"/>
              </w:rPr>
              <w:t>）成交人需有应急保障队伍，对采购人的突发紧急任务或应急保障工作，可以临时调配服务人员予以响应。</w:t>
            </w:r>
          </w:p>
          <w:p>
            <w:pPr>
              <w:ind w:firstLine="210"/>
              <w:jc w:val="both"/>
            </w:pPr>
            <w:r>
              <w:rPr>
                <w:sz w:val="21"/>
              </w:rPr>
              <w:t xml:space="preserve"> ★</w:t>
            </w:r>
            <w:r>
              <w:rPr>
                <w:sz w:val="21"/>
              </w:rPr>
              <w:t>（</w:t>
            </w:r>
            <w:r>
              <w:rPr>
                <w:sz w:val="21"/>
              </w:rPr>
              <w:t>6</w:t>
            </w:r>
            <w:r>
              <w:rPr>
                <w:sz w:val="21"/>
              </w:rPr>
              <w:t>）如发生中心作业因针刺伤等原因发生血源性病原体（乙型肝炎病毒、丙型肝炎病毒、艾滋病病毒、梅毒螺旋体）职业暴露采购人可提供相关职业暴露评估及随访指导，发生职业暴露、工伤、疾病乃至死亡的一切责任及费用由成交人全部负责。成交人因履行服务合同与采购人以外的第三方发生的任何纠纷，由成交人承担相应责任，与采购人无关，采购人无需承担任何连带关系和责任。全部服务人员的工作时间应严格按国家有关法律、法规要求的标准执行。</w:t>
            </w:r>
          </w:p>
          <w:p>
            <w:pPr>
              <w:ind w:firstLine="210"/>
              <w:jc w:val="both"/>
            </w:pPr>
            <w:r>
              <w:rPr>
                <w:sz w:val="21"/>
              </w:rPr>
              <w:t xml:space="preserve">  （</w:t>
            </w:r>
            <w:r>
              <w:rPr>
                <w:sz w:val="21"/>
              </w:rPr>
              <w:t>7</w:t>
            </w:r>
            <w:r>
              <w:rPr>
                <w:sz w:val="21"/>
              </w:rPr>
              <w:t>）成交人负责所有服务人员的档案管理工作，如采购人要求，成交人有义务及时向采购人提供服务人员有关资料，包括个人信息、健康证、劳动合同、社会保险证明、学历证明等个人资料，采购人承诺不随意对外泄露。</w:t>
            </w:r>
          </w:p>
          <w:p>
            <w:pPr>
              <w:jc w:val="both"/>
            </w:pPr>
          </w:p>
          <w:p>
            <w:pPr>
              <w:jc w:val="both"/>
            </w:pPr>
            <w:r>
              <w:rPr>
                <w:b/>
                <w:sz w:val="21"/>
              </w:rPr>
              <w:t>2</w:t>
            </w:r>
            <w:r>
              <w:rPr>
                <w:b/>
                <w:sz w:val="21"/>
              </w:rPr>
              <w:t>、后期服务要求</w:t>
            </w:r>
          </w:p>
          <w:p>
            <w:pPr>
              <w:ind w:firstLine="441"/>
              <w:jc w:val="both"/>
            </w:pPr>
            <w:r>
              <w:rPr>
                <w:sz w:val="21"/>
              </w:rPr>
              <w:t>（</w:t>
            </w:r>
            <w:r>
              <w:rPr>
                <w:sz w:val="21"/>
              </w:rPr>
              <w:t>1</w:t>
            </w:r>
            <w:r>
              <w:rPr>
                <w:sz w:val="21"/>
              </w:rPr>
              <w:t>）公用水电（包括空调、消毒服务、办公、生活等各类用水；消防、水泵、照明、电梯、各类机电设备、成交人办公等各类用电）费用由采购人承担；采购人负责提供文员的办公电脑、录入资料的系统、办公桌椅、笔、纸等各类办公用品。</w:t>
            </w:r>
          </w:p>
          <w:p>
            <w:pPr>
              <w:ind w:firstLine="441"/>
              <w:jc w:val="both"/>
            </w:pPr>
            <w:r>
              <w:rPr>
                <w:sz w:val="21"/>
              </w:rPr>
              <w:t>（</w:t>
            </w:r>
            <w:r>
              <w:rPr>
                <w:sz w:val="21"/>
              </w:rPr>
              <w:t>2</w:t>
            </w:r>
            <w:r>
              <w:rPr>
                <w:sz w:val="21"/>
              </w:rPr>
              <w:t>）采购人向成交人提供办公场所及库房（以实地查看为准）。</w:t>
            </w:r>
          </w:p>
          <w:p>
            <w:pPr>
              <w:ind w:firstLine="441"/>
              <w:jc w:val="both"/>
            </w:pPr>
            <w:r>
              <w:rPr>
                <w:sz w:val="21"/>
              </w:rPr>
              <w:t>（</w:t>
            </w:r>
            <w:r>
              <w:rPr>
                <w:sz w:val="21"/>
              </w:rPr>
              <w:t>3</w:t>
            </w:r>
            <w:r>
              <w:rPr>
                <w:sz w:val="21"/>
              </w:rPr>
              <w:t>）采购人不提供服务人员宿舍，不提供饭堂就餐，成交人应为服务人员提供食宿。</w:t>
            </w:r>
          </w:p>
          <w:p>
            <w:pPr>
              <w:ind w:firstLine="441"/>
              <w:jc w:val="both"/>
            </w:pPr>
            <w:r>
              <w:rPr>
                <w:sz w:val="21"/>
              </w:rPr>
              <w:t>（</w:t>
            </w:r>
            <w:r>
              <w:rPr>
                <w:sz w:val="21"/>
              </w:rPr>
              <w:t>4</w:t>
            </w:r>
            <w:r>
              <w:rPr>
                <w:sz w:val="21"/>
              </w:rPr>
              <w:t>）成交人应配置项目相关服务人员的装备及其所需耗材。</w:t>
            </w:r>
          </w:p>
          <w:p>
            <w:pPr>
              <w:ind w:firstLine="441"/>
              <w:jc w:val="both"/>
            </w:pPr>
            <w:r>
              <w:rPr>
                <w:sz w:val="21"/>
              </w:rPr>
              <w:t>（</w:t>
            </w:r>
            <w:r>
              <w:rPr>
                <w:sz w:val="21"/>
              </w:rPr>
              <w:t>5</w:t>
            </w:r>
            <w:r>
              <w:rPr>
                <w:sz w:val="21"/>
              </w:rPr>
              <w:t>）成交人负责其服务人员服装配备和洗涤，成交人自行负责各服务人员的劳保用品、防护用品、防止院感用品（如：口罩、一次性手套等）。</w:t>
            </w:r>
          </w:p>
          <w:p>
            <w:pPr>
              <w:ind w:firstLine="441"/>
              <w:jc w:val="both"/>
            </w:pPr>
          </w:p>
          <w:p>
            <w:pPr>
              <w:jc w:val="both"/>
            </w:pPr>
            <w:r>
              <w:rPr>
                <w:b/>
                <w:sz w:val="21"/>
              </w:rPr>
              <w:t>3</w:t>
            </w:r>
            <w:r>
              <w:rPr>
                <w:b/>
                <w:sz w:val="21"/>
              </w:rPr>
              <w:t>、其他要求</w:t>
            </w:r>
          </w:p>
          <w:p>
            <w:pPr>
              <w:ind w:firstLine="420"/>
              <w:jc w:val="both"/>
            </w:pPr>
            <w:r>
              <w:rPr>
                <w:sz w:val="21"/>
              </w:rPr>
              <w:t>（</w:t>
            </w:r>
            <w:r>
              <w:rPr>
                <w:sz w:val="21"/>
              </w:rPr>
              <w:t>1</w:t>
            </w:r>
            <w:r>
              <w:rPr>
                <w:sz w:val="21"/>
              </w:rPr>
              <w:t>）未经采购人同意，成交人不得将本项目转让或分包。</w:t>
            </w:r>
          </w:p>
          <w:p>
            <w:pPr>
              <w:ind w:firstLine="420"/>
              <w:jc w:val="both"/>
            </w:pPr>
            <w:r>
              <w:rPr>
                <w:sz w:val="21"/>
              </w:rPr>
              <w:t>（</w:t>
            </w:r>
            <w:r>
              <w:rPr>
                <w:sz w:val="21"/>
              </w:rPr>
              <w:t>2</w:t>
            </w:r>
            <w:r>
              <w:rPr>
                <w:sz w:val="21"/>
              </w:rPr>
              <w:t>）成交人应提供足够的作业机具</w:t>
            </w:r>
            <w:r>
              <w:rPr>
                <w:sz w:val="21"/>
              </w:rPr>
              <w:t>,</w:t>
            </w:r>
            <w:r>
              <w:rPr>
                <w:sz w:val="21"/>
              </w:rPr>
              <w:t>自行解决管理服务时所需的日常工具和劳保用品</w:t>
            </w:r>
            <w:r>
              <w:rPr>
                <w:sz w:val="21"/>
              </w:rPr>
              <w:t>,</w:t>
            </w:r>
            <w:r>
              <w:rPr>
                <w:sz w:val="21"/>
              </w:rPr>
              <w:t>并能根据基层医疗卫生机构的行业形象要求及规范</w:t>
            </w:r>
            <w:r>
              <w:rPr>
                <w:sz w:val="21"/>
              </w:rPr>
              <w:t>,</w:t>
            </w:r>
            <w:r>
              <w:rPr>
                <w:sz w:val="21"/>
              </w:rPr>
              <w:t>保证文明工作。</w:t>
            </w:r>
          </w:p>
          <w:p>
            <w:pPr>
              <w:ind w:firstLine="420"/>
              <w:jc w:val="both"/>
            </w:pPr>
            <w:r>
              <w:rPr>
                <w:sz w:val="21"/>
              </w:rPr>
              <w:t>（</w:t>
            </w:r>
            <w:r>
              <w:rPr>
                <w:sz w:val="21"/>
              </w:rPr>
              <w:t>3</w:t>
            </w:r>
            <w:r>
              <w:rPr>
                <w:sz w:val="21"/>
              </w:rPr>
              <w:t>）成交人应严格按照标准化的操作程序、完善的培训体系和质量控制体系完成本项目，以保证整个系统安全、高效、有序和有计划地运转。</w:t>
            </w:r>
          </w:p>
          <w:p>
            <w:pPr>
              <w:ind w:firstLine="420"/>
              <w:jc w:val="both"/>
            </w:pPr>
            <w:r>
              <w:rPr>
                <w:sz w:val="21"/>
              </w:rPr>
              <w:t>（</w:t>
            </w:r>
            <w:r>
              <w:rPr>
                <w:sz w:val="21"/>
              </w:rPr>
              <w:t>4</w:t>
            </w:r>
            <w:r>
              <w:rPr>
                <w:sz w:val="21"/>
              </w:rPr>
              <w:t>）成交人有责任配合采购人接受上级领导部门的监督、检查，提供必须的资料。</w:t>
            </w:r>
          </w:p>
          <w:p>
            <w:pPr>
              <w:ind w:firstLine="441"/>
              <w:jc w:val="both"/>
            </w:pPr>
            <w:r>
              <w:rPr>
                <w:sz w:val="21"/>
              </w:rPr>
              <w:t>（</w:t>
            </w:r>
            <w:r>
              <w:rPr>
                <w:sz w:val="21"/>
              </w:rPr>
              <w:t>5</w:t>
            </w:r>
            <w:r>
              <w:rPr>
                <w:sz w:val="21"/>
              </w:rPr>
              <w:t>）成交人所有服务人员到位前应持二级甲等或以上医疗机构出具的体检合格证明，费用自理，个人卫生达标。</w:t>
            </w:r>
          </w:p>
          <w:p>
            <w:pPr>
              <w:ind w:firstLine="441"/>
              <w:jc w:val="both"/>
            </w:pPr>
            <w:r>
              <w:rPr>
                <w:sz w:val="21"/>
              </w:rPr>
              <w:t>（</w:t>
            </w:r>
            <w:r>
              <w:rPr>
                <w:sz w:val="21"/>
              </w:rPr>
              <w:t>6</w:t>
            </w:r>
            <w:r>
              <w:rPr>
                <w:sz w:val="21"/>
              </w:rPr>
              <w:t>）采购人不接受成交人任何因遗漏报价而发生的费用追加，因成交人违反《劳动法》等法律法规而造成采购人的连带责任和损失全部由成交人承担。</w:t>
            </w:r>
          </w:p>
          <w:p>
            <w:pPr>
              <w:ind w:firstLine="441"/>
              <w:jc w:val="both"/>
            </w:pPr>
            <w:r>
              <w:rPr>
                <w:sz w:val="21"/>
              </w:rPr>
              <w:t>（</w:t>
            </w:r>
            <w:r>
              <w:rPr>
                <w:sz w:val="21"/>
              </w:rPr>
              <w:t>7</w:t>
            </w:r>
            <w:r>
              <w:rPr>
                <w:sz w:val="21"/>
              </w:rPr>
              <w:t>）在合同执行过程中，根据实际工作量，采购人与成交人可以协商增加或减少服务人员，增加或减少服务人员均需由采购人与成交人签订书面补充协议后方能生效执行，增加费用不超合同总金额的</w:t>
            </w:r>
            <w:r>
              <w:rPr>
                <w:sz w:val="21"/>
              </w:rPr>
              <w:t>10%</w:t>
            </w:r>
            <w:r>
              <w:rPr>
                <w:sz w:val="21"/>
              </w:rPr>
              <w:t>。</w:t>
            </w:r>
          </w:p>
          <w:p>
            <w:pPr>
              <w:ind w:firstLine="441"/>
              <w:jc w:val="both"/>
            </w:pPr>
            <w:r>
              <w:rPr>
                <w:sz w:val="21"/>
              </w:rPr>
              <w:t>（</w:t>
            </w:r>
            <w:r>
              <w:rPr>
                <w:sz w:val="21"/>
              </w:rPr>
              <w:t>8</w:t>
            </w:r>
            <w:r>
              <w:rPr>
                <w:sz w:val="21"/>
              </w:rPr>
              <w:t>）由于成交人的责任给群众造成的一切意外伤害以及其他安全责任事故，全部责任由成交人承担。</w:t>
            </w:r>
          </w:p>
          <w:p>
            <w:pPr>
              <w:jc w:val="both"/>
            </w:pPr>
            <w:r>
              <w:rPr>
                <w:sz w:val="21"/>
              </w:rPr>
              <w:t xml:space="preserve">  ★</w:t>
            </w:r>
            <w:r>
              <w:rPr>
                <w:sz w:val="21"/>
              </w:rPr>
              <w:t>（</w:t>
            </w:r>
            <w:r>
              <w:rPr>
                <w:sz w:val="21"/>
              </w:rPr>
              <w:t>9</w:t>
            </w:r>
            <w:r>
              <w:rPr>
                <w:sz w:val="21"/>
              </w:rPr>
              <w:t>）成交人不能出现服务人员空缺，如出现服务人员空缺，每人每日按本合同总服务费</w:t>
            </w:r>
            <w:r>
              <w:rPr>
                <w:sz w:val="21"/>
              </w:rPr>
              <w:t>4‰</w:t>
            </w:r>
            <w:r>
              <w:rPr>
                <w:sz w:val="21"/>
              </w:rPr>
              <w:t>的数额向采购人支付违约金，经采购人书面通知成交人纠正，成交人在规定期限仍未纠正的，采购人有权解除合同，由此造成的采购人经济损失由成交人承担。</w:t>
            </w:r>
          </w:p>
        </w:tc>
      </w:tr>
      <w:tr>
        <w:tc>
          <w:tcPr>
            <w:tcW w:type="dxa" w:w="2076"/>
          </w:tcPr>
          <w:p/>
        </w:tc>
        <w:tc>
          <w:tcPr>
            <w:tcW w:type="dxa" w:w="415"/>
          </w:tcPr>
          <w:p>
            <w:r>
              <w:rPr/>
              <w:t>5</w:t>
            </w:r>
          </w:p>
        </w:tc>
        <w:tc>
          <w:tcPr>
            <w:tcW w:type="dxa" w:w="5814"/>
          </w:tcPr>
          <w:p>
            <w:pPr>
              <w:jc w:val="both"/>
            </w:pPr>
            <w:r>
              <w:rPr>
                <w:b/>
                <w:sz w:val="21"/>
              </w:rPr>
              <w:t>五、项目人员权益保障：</w:t>
            </w:r>
          </w:p>
          <w:p>
            <w:pPr>
              <w:jc w:val="both"/>
            </w:pPr>
            <w:r>
              <w:rPr>
                <w:sz w:val="21"/>
              </w:rPr>
              <w:t xml:space="preserve">    成交人负责本项目人员的福利权益保障，严格遵守国家有关的法律、法规及行业标准。必须严格按照国家规定给本项目人员缴纳各种社会保险（包括养老、医疗、工伤、生育险、失业保险等），人员工资不低于佛山市最低工资标准执行。</w:t>
            </w:r>
          </w:p>
        </w:tc>
      </w:tr>
      <w:tr>
        <w:tc>
          <w:tcPr>
            <w:tcW w:type="dxa" w:w="2076"/>
          </w:tcPr>
          <w:p/>
        </w:tc>
        <w:tc>
          <w:tcPr>
            <w:tcW w:type="dxa" w:w="415"/>
          </w:tcPr>
          <w:p>
            <w:r>
              <w:rPr/>
              <w:t>6</w:t>
            </w:r>
          </w:p>
        </w:tc>
        <w:tc>
          <w:tcPr>
            <w:tcW w:type="dxa" w:w="5814"/>
          </w:tcPr>
          <w:p>
            <w:pPr>
              <w:jc w:val="both"/>
            </w:pPr>
            <w:r>
              <w:rPr>
                <w:b/>
                <w:sz w:val="21"/>
              </w:rPr>
              <w:t>六、考核细则：</w:t>
            </w:r>
          </w:p>
          <w:p>
            <w:pPr>
              <w:ind w:firstLine="420"/>
              <w:jc w:val="both"/>
            </w:pPr>
            <w:r>
              <w:rPr>
                <w:sz w:val="21"/>
              </w:rPr>
              <w:t>1</w:t>
            </w:r>
            <w:r>
              <w:rPr>
                <w:sz w:val="21"/>
              </w:rPr>
              <w:t>、采购人每月对成交人进行考核评价，评价表见月度考核表。</w:t>
            </w:r>
          </w:p>
          <w:p>
            <w:pPr>
              <w:ind w:firstLine="420"/>
              <w:jc w:val="both"/>
            </w:pPr>
            <w:r>
              <w:rPr>
                <w:sz w:val="21"/>
              </w:rPr>
              <w:t>2</w:t>
            </w:r>
            <w:r>
              <w:rPr>
                <w:sz w:val="21"/>
              </w:rPr>
              <w:t>、采购人对成交人当月的服务进行服务评价，每月评分以</w:t>
            </w:r>
            <w:r>
              <w:rPr>
                <w:sz w:val="21"/>
              </w:rPr>
              <w:t>100</w:t>
            </w:r>
            <w:r>
              <w:rPr>
                <w:sz w:val="21"/>
              </w:rPr>
              <w:t>分为满分，评分在</w:t>
            </w:r>
            <w:r>
              <w:rPr>
                <w:sz w:val="21"/>
              </w:rPr>
              <w:t>70</w:t>
            </w:r>
          </w:p>
          <w:p>
            <w:pPr>
              <w:jc w:val="both"/>
            </w:pPr>
            <w:r>
              <w:rPr>
                <w:sz w:val="21"/>
              </w:rPr>
              <w:t>分（含）以上为合格。服务评价分</w:t>
            </w:r>
            <w:r>
              <w:rPr>
                <w:sz w:val="21"/>
              </w:rPr>
              <w:t>A</w:t>
            </w:r>
            <w:r>
              <w:rPr>
                <w:sz w:val="21"/>
              </w:rPr>
              <w:t>满意（</w:t>
            </w:r>
            <w:r>
              <w:rPr>
                <w:sz w:val="21"/>
              </w:rPr>
              <w:t>90</w:t>
            </w:r>
            <w:r>
              <w:rPr>
                <w:sz w:val="21"/>
              </w:rPr>
              <w:t>分及以上）、</w:t>
            </w:r>
            <w:r>
              <w:rPr>
                <w:sz w:val="21"/>
              </w:rPr>
              <w:t>B</w:t>
            </w:r>
            <w:r>
              <w:rPr>
                <w:sz w:val="21"/>
              </w:rPr>
              <w:t>良好（</w:t>
            </w:r>
            <w:r>
              <w:rPr>
                <w:sz w:val="21"/>
              </w:rPr>
              <w:t>80</w:t>
            </w:r>
            <w:r>
              <w:rPr>
                <w:sz w:val="21"/>
              </w:rPr>
              <w:t>分</w:t>
            </w:r>
            <w:r>
              <w:rPr>
                <w:sz w:val="21"/>
              </w:rPr>
              <w:t>—89</w:t>
            </w:r>
            <w:r>
              <w:rPr>
                <w:sz w:val="21"/>
              </w:rPr>
              <w:t>分）、</w:t>
            </w:r>
            <w:r>
              <w:rPr>
                <w:sz w:val="21"/>
              </w:rPr>
              <w:t>C</w:t>
            </w:r>
            <w:r>
              <w:rPr>
                <w:sz w:val="21"/>
              </w:rPr>
              <w:t>合格（</w:t>
            </w:r>
            <w:r>
              <w:rPr>
                <w:sz w:val="21"/>
              </w:rPr>
              <w:t>70-79</w:t>
            </w:r>
            <w:r>
              <w:rPr>
                <w:sz w:val="21"/>
              </w:rPr>
              <w:t>分）、</w:t>
            </w:r>
            <w:r>
              <w:rPr>
                <w:sz w:val="21"/>
              </w:rPr>
              <w:t>D</w:t>
            </w:r>
            <w:r>
              <w:rPr>
                <w:sz w:val="21"/>
              </w:rPr>
              <w:t>不合格（</w:t>
            </w:r>
            <w:r>
              <w:rPr>
                <w:sz w:val="21"/>
              </w:rPr>
              <w:t>70</w:t>
            </w:r>
            <w:r>
              <w:rPr>
                <w:sz w:val="21"/>
              </w:rPr>
              <w:t>分（不含）以下）四档并由采购人出具服务评价书面材料，服务评价</w:t>
            </w:r>
            <w:r>
              <w:rPr>
                <w:sz w:val="21"/>
              </w:rPr>
              <w:t>A</w:t>
            </w:r>
            <w:r>
              <w:rPr>
                <w:sz w:val="21"/>
              </w:rPr>
              <w:t>级支付当月服务费</w:t>
            </w:r>
            <w:r>
              <w:rPr>
                <w:sz w:val="21"/>
              </w:rPr>
              <w:t>100%</w:t>
            </w:r>
            <w:r>
              <w:rPr>
                <w:sz w:val="21"/>
              </w:rPr>
              <w:t>，服务评价</w:t>
            </w:r>
            <w:r>
              <w:rPr>
                <w:sz w:val="21"/>
              </w:rPr>
              <w:t>B</w:t>
            </w:r>
            <w:r>
              <w:rPr>
                <w:sz w:val="21"/>
              </w:rPr>
              <w:t>级支付当月服务费</w:t>
            </w:r>
            <w:r>
              <w:rPr>
                <w:sz w:val="21"/>
              </w:rPr>
              <w:t>95%,</w:t>
            </w:r>
            <w:r>
              <w:rPr>
                <w:sz w:val="21"/>
              </w:rPr>
              <w:t>服务评价</w:t>
            </w:r>
            <w:r>
              <w:rPr>
                <w:sz w:val="21"/>
              </w:rPr>
              <w:t>C</w:t>
            </w:r>
            <w:r>
              <w:rPr>
                <w:sz w:val="21"/>
              </w:rPr>
              <w:t>级支付当月服务费</w:t>
            </w:r>
            <w:r>
              <w:rPr>
                <w:sz w:val="21"/>
              </w:rPr>
              <w:t>90%,</w:t>
            </w:r>
            <w:r>
              <w:rPr>
                <w:sz w:val="21"/>
              </w:rPr>
              <w:t>服务评价</w:t>
            </w:r>
            <w:r>
              <w:rPr>
                <w:sz w:val="21"/>
              </w:rPr>
              <w:t>D</w:t>
            </w:r>
            <w:r>
              <w:rPr>
                <w:sz w:val="21"/>
              </w:rPr>
              <w:t>级支付当月服务费</w:t>
            </w:r>
            <w:r>
              <w:rPr>
                <w:sz w:val="21"/>
              </w:rPr>
              <w:t>80%</w:t>
            </w:r>
            <w:r>
              <w:rPr>
                <w:sz w:val="21"/>
              </w:rPr>
              <w:t>，以转账方式转入成交人的银行账户。若成交人累计</w:t>
            </w:r>
            <w:r>
              <w:rPr>
                <w:sz w:val="21"/>
              </w:rPr>
              <w:t>3</w:t>
            </w:r>
            <w:r>
              <w:rPr>
                <w:sz w:val="21"/>
              </w:rPr>
              <w:t>次服务评价为</w:t>
            </w:r>
            <w:r>
              <w:rPr>
                <w:sz w:val="21"/>
              </w:rPr>
              <w:t>C</w:t>
            </w:r>
            <w:r>
              <w:rPr>
                <w:sz w:val="21"/>
              </w:rPr>
              <w:t>级的或累计</w:t>
            </w:r>
            <w:r>
              <w:rPr>
                <w:sz w:val="21"/>
              </w:rPr>
              <w:t>2</w:t>
            </w:r>
            <w:r>
              <w:rPr>
                <w:sz w:val="21"/>
              </w:rPr>
              <w:t>次服务评价为</w:t>
            </w:r>
            <w:r>
              <w:rPr>
                <w:sz w:val="21"/>
              </w:rPr>
              <w:t>D</w:t>
            </w:r>
            <w:r>
              <w:rPr>
                <w:sz w:val="21"/>
              </w:rPr>
              <w:t>级的，采购人有权终止合同，履约保证金全部不作退还。</w:t>
            </w:r>
          </w:p>
          <w:p>
            <w:pPr>
              <w:ind w:firstLine="420"/>
              <w:jc w:val="both"/>
            </w:pPr>
            <w:r>
              <w:rPr>
                <w:sz w:val="21"/>
              </w:rPr>
              <w:t>3</w:t>
            </w:r>
            <w:r>
              <w:rPr>
                <w:sz w:val="21"/>
              </w:rPr>
              <w:t>、成交人应在采购人的总体指导下开展工作，严格遵守釆购人相关制度，工作规范，规范各项管理，接受釆购人监督检查与绩效评价。</w:t>
            </w:r>
          </w:p>
          <w:p>
            <w:pPr>
              <w:jc w:val="both"/>
            </w:pPr>
            <w:r>
              <w:rPr>
                <w:sz w:val="21"/>
              </w:rPr>
              <w:t xml:space="preserve">    4</w:t>
            </w:r>
            <w:r>
              <w:rPr>
                <w:sz w:val="21"/>
              </w:rPr>
              <w:t>、考核评价细则采购人有权根据实际需要进行调整，以便持续改进服务质量。</w:t>
            </w:r>
          </w:p>
          <w:p>
            <w:pPr>
              <w:jc w:val="both"/>
            </w:pPr>
          </w:p>
          <w:p>
            <w:pPr>
              <w:jc w:val="both"/>
            </w:pPr>
          </w:p>
          <w:p>
            <w:pPr>
              <w:jc w:val="both"/>
            </w:pPr>
          </w:p>
          <w:p>
            <w:pPr>
              <w:jc w:val="both"/>
            </w:pPr>
            <w:r>
              <w:rPr>
                <w:b/>
                <w:sz w:val="21"/>
              </w:rPr>
              <w:t>月度考核表</w:t>
            </w:r>
            <w:r>
              <w:rPr>
                <w:b/>
                <w:sz w:val="21"/>
              </w:rPr>
              <w:t xml:space="preserve">       </w:t>
            </w:r>
          </w:p>
          <w:p>
            <w:pPr>
              <w:jc w:val="both"/>
            </w:pPr>
            <w:r>
              <w:rPr>
                <w:b/>
                <w:sz w:val="21"/>
              </w:rPr>
              <w:t xml:space="preserve">               </w:t>
            </w:r>
            <w:r>
              <w:rPr>
                <w:b/>
                <w:sz w:val="21"/>
              </w:rPr>
              <w:t>年</w:t>
            </w:r>
            <w:r>
              <w:rPr>
                <w:b/>
                <w:sz w:val="21"/>
              </w:rPr>
              <w:t xml:space="preserve">  </w:t>
            </w:r>
            <w:r>
              <w:rPr>
                <w:b/>
                <w:sz w:val="21"/>
              </w:rPr>
              <w:t>月份考核表</w:t>
            </w:r>
          </w:p>
          <w:tbl>
            <w:tblPr>
              <w:tblInd w:type="dxa" w:w="120"/>
              <w:tblBorders>
                <w:top w:val="none" w:color="000000" w:sz="4"/>
                <w:left w:val="none" w:color="000000" w:sz="4"/>
                <w:bottom w:val="none" w:color="000000" w:sz="4"/>
                <w:right w:val="none" w:color="000000" w:sz="4"/>
                <w:insideH w:val="none"/>
                <w:insideV w:val="none"/>
              </w:tblBorders>
            </w:tblPr>
            <w:tblGrid>
              <w:gridCol w:w="495"/>
              <w:gridCol w:w="510"/>
              <w:gridCol w:w="720"/>
              <w:gridCol w:w="2145"/>
              <w:gridCol w:w="1005"/>
              <w:gridCol w:w="675"/>
            </w:tblGrid>
            <w:tr>
              <w:tc>
                <w:tcPr>
                  <w:tcW w:type="dxa" w:w="495"/>
                  <w:tcBorders>
                    <w:top w:val="single" w:color="000000" w:sz="4"/>
                    <w:left w:val="single" w:color="000000" w:sz="4"/>
                    <w:bottom w:val="single" w:color="000000" w:sz="4"/>
                    <w:right w:val="single" w:color="000000" w:sz="4"/>
                  </w:tcBorders>
                  <w:vAlign w:val="top"/>
                </w:tcPr>
                <w:p>
                  <w:pPr>
                    <w:jc w:val="center"/>
                  </w:pPr>
                  <w:r>
                    <w:rPr>
                      <w:sz w:val="21"/>
                    </w:rPr>
                    <w:t>序号</w:t>
                  </w:r>
                </w:p>
              </w:tc>
              <w:tc>
                <w:tcPr>
                  <w:tcW w:type="dxa" w:w="1230"/>
                  <w:gridSpan w:val="2"/>
                  <w:tcBorders>
                    <w:top w:val="single" w:color="000000" w:sz="4"/>
                    <w:left w:val="none" w:color="000000" w:sz="4"/>
                    <w:bottom w:val="single" w:color="000000" w:sz="4"/>
                    <w:right w:val="single" w:color="000000" w:sz="4"/>
                  </w:tcBorders>
                  <w:vAlign w:val="top"/>
                </w:tcPr>
                <w:p>
                  <w:pPr>
                    <w:jc w:val="center"/>
                  </w:pPr>
                  <w:r>
                    <w:rPr>
                      <w:sz w:val="21"/>
                    </w:rPr>
                    <w:t>评分内容</w:t>
                  </w:r>
                </w:p>
              </w:tc>
              <w:tc>
                <w:tcPr>
                  <w:tcW w:type="dxa" w:w="2145"/>
                  <w:tcBorders>
                    <w:top w:val="single" w:color="000000" w:sz="4"/>
                    <w:left w:val="none" w:color="000000" w:sz="4"/>
                    <w:bottom w:val="single" w:color="000000" w:sz="4"/>
                    <w:right w:val="single" w:color="000000" w:sz="4"/>
                  </w:tcBorders>
                  <w:vAlign w:val="top"/>
                </w:tcPr>
                <w:p>
                  <w:pPr>
                    <w:ind w:firstLine="1050"/>
                    <w:jc w:val="center"/>
                  </w:pPr>
                  <w:r>
                    <w:rPr>
                      <w:sz w:val="21"/>
                    </w:rPr>
                    <w:t>评分标准</w:t>
                  </w:r>
                </w:p>
              </w:tc>
              <w:tc>
                <w:tcPr>
                  <w:tcW w:type="dxa" w:w="1005"/>
                  <w:tcBorders>
                    <w:top w:val="single" w:color="000000" w:sz="4"/>
                    <w:left w:val="none" w:color="000000" w:sz="4"/>
                    <w:bottom w:val="single" w:color="000000" w:sz="4"/>
                    <w:right w:val="single" w:color="000000" w:sz="4"/>
                  </w:tcBorders>
                  <w:vAlign w:val="top"/>
                </w:tcPr>
                <w:p>
                  <w:pPr>
                    <w:jc w:val="center"/>
                  </w:pPr>
                  <w:r>
                    <w:rPr>
                      <w:sz w:val="21"/>
                    </w:rPr>
                    <w:t>扣分标准</w:t>
                  </w:r>
                </w:p>
              </w:tc>
              <w:tc>
                <w:tcPr>
                  <w:tcW w:type="dxa" w:w="675"/>
                  <w:tcBorders>
                    <w:top w:val="single" w:color="000000" w:sz="4"/>
                    <w:left w:val="none" w:color="000000" w:sz="4"/>
                    <w:bottom w:val="single" w:color="000000" w:sz="4"/>
                    <w:right w:val="single" w:color="000000" w:sz="4"/>
                  </w:tcBorders>
                  <w:vAlign w:val="top"/>
                </w:tcPr>
                <w:p>
                  <w:pPr>
                    <w:jc w:val="center"/>
                  </w:pPr>
                  <w:r>
                    <w:rPr>
                      <w:sz w:val="21"/>
                    </w:rPr>
                    <w:t>扣分情况</w:t>
                  </w: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230"/>
                  <w:gridSpan w:val="2"/>
                  <w:vMerge w:val="restart"/>
                  <w:tcBorders>
                    <w:top w:val="none" w:color="000000" w:sz="4"/>
                    <w:left w:val="none" w:color="000000" w:sz="4"/>
                    <w:bottom w:val="single" w:color="000000" w:sz="4"/>
                    <w:right w:val="single" w:color="000000" w:sz="4"/>
                  </w:tcBorders>
                  <w:vAlign w:val="top"/>
                </w:tcPr>
                <w:p>
                  <w:pPr>
                    <w:jc w:val="center"/>
                  </w:pPr>
                  <w:r>
                    <w:rPr>
                      <w:sz w:val="21"/>
                    </w:rPr>
                    <w:t>服务人员配备率</w:t>
                  </w:r>
                </w:p>
              </w:tc>
              <w:tc>
                <w:tcPr>
                  <w:tcW w:type="dxa" w:w="2145"/>
                  <w:tcBorders>
                    <w:top w:val="none" w:color="000000" w:sz="4"/>
                    <w:left w:val="none" w:color="000000" w:sz="4"/>
                    <w:bottom w:val="single" w:color="000000" w:sz="4"/>
                    <w:right w:val="single" w:color="000000" w:sz="4"/>
                  </w:tcBorders>
                  <w:vAlign w:val="top"/>
                </w:tcPr>
                <w:p>
                  <w:pPr>
                    <w:jc w:val="center"/>
                  </w:pPr>
                  <w:r>
                    <w:rPr>
                      <w:sz w:val="21"/>
                    </w:rPr>
                    <w:t>投入服务人员充足、及时，能够根据要求迅速调配。</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每缺一人扣</w:t>
                  </w:r>
                  <w:r>
                    <w:rPr>
                      <w:sz w:val="21"/>
                    </w:rPr>
                    <w:t>5</w:t>
                  </w:r>
                  <w:r>
                    <w:rPr>
                      <w:sz w:val="21"/>
                    </w:rPr>
                    <w:t>分</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230"/>
                  <w:gridSpan w:val="2"/>
                  <w:vMerge/>
                  <w:tcBorders>
                    <w:top w:val="none" w:color="000000" w:sz="4"/>
                    <w:left w:val="none" w:color="000000" w:sz="4"/>
                    <w:bottom w:val="single" w:color="000000" w:sz="4"/>
                    <w:right w:val="single" w:color="000000" w:sz="4"/>
                  </w:tcBorders>
                </w:tcPr>
                <w:p/>
              </w:tc>
              <w:tc>
                <w:tcPr>
                  <w:tcW w:type="dxa" w:w="2145"/>
                  <w:tcBorders>
                    <w:top w:val="none" w:color="000000" w:sz="4"/>
                    <w:left w:val="none" w:color="000000" w:sz="4"/>
                    <w:bottom w:val="single" w:color="000000" w:sz="4"/>
                    <w:right w:val="single" w:color="000000" w:sz="4"/>
                  </w:tcBorders>
                  <w:vAlign w:val="top"/>
                </w:tcPr>
                <w:p>
                  <w:pPr>
                    <w:jc w:val="center"/>
                  </w:pPr>
                  <w:r>
                    <w:rPr>
                      <w:sz w:val="21"/>
                    </w:rPr>
                    <w:t>对服务人员的稳定情况进行评分。</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每缺一人扣</w:t>
                  </w:r>
                  <w:r>
                    <w:rPr>
                      <w:sz w:val="21"/>
                    </w:rPr>
                    <w:t>3</w:t>
                  </w:r>
                  <w:r>
                    <w:rPr>
                      <w:sz w:val="21"/>
                    </w:rPr>
                    <w:t>分</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3</w:t>
                  </w:r>
                </w:p>
              </w:tc>
              <w:tc>
                <w:tcPr>
                  <w:tcW w:type="dxa" w:w="1230"/>
                  <w:gridSpan w:val="2"/>
                  <w:vMerge w:val="restart"/>
                  <w:tcBorders>
                    <w:top w:val="none" w:color="000000" w:sz="4"/>
                    <w:left w:val="none" w:color="000000" w:sz="4"/>
                    <w:bottom w:val="single" w:color="000000" w:sz="4"/>
                    <w:right w:val="single" w:color="000000" w:sz="4"/>
                  </w:tcBorders>
                  <w:vAlign w:val="top"/>
                </w:tcPr>
                <w:p>
                  <w:pPr>
                    <w:jc w:val="center"/>
                  </w:pPr>
                  <w:r>
                    <w:rPr>
                      <w:sz w:val="21"/>
                    </w:rPr>
                    <w:t>服务人员纪律</w:t>
                  </w:r>
                </w:p>
              </w:tc>
              <w:tc>
                <w:tcPr>
                  <w:tcW w:type="dxa" w:w="2145"/>
                  <w:tcBorders>
                    <w:top w:val="none" w:color="000000" w:sz="4"/>
                    <w:left w:val="none" w:color="000000" w:sz="4"/>
                    <w:bottom w:val="single" w:color="000000" w:sz="4"/>
                    <w:right w:val="single" w:color="000000" w:sz="4"/>
                  </w:tcBorders>
                  <w:vAlign w:val="top"/>
                </w:tcPr>
                <w:p>
                  <w:pPr>
                    <w:jc w:val="center"/>
                  </w:pPr>
                  <w:r>
                    <w:rPr>
                      <w:sz w:val="21"/>
                    </w:rPr>
                    <w:t>服务人员无故迟到早退的</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每次扣减</w:t>
                  </w:r>
                  <w:r>
                    <w:rPr>
                      <w:sz w:val="21"/>
                    </w:rPr>
                    <w:t>1</w:t>
                  </w:r>
                  <w:r>
                    <w:rPr>
                      <w:sz w:val="21"/>
                    </w:rPr>
                    <w:t>分</w:t>
                  </w:r>
                  <w:r>
                    <w:rPr>
                      <w:sz w:val="21"/>
                    </w:rPr>
                    <w:t>/</w:t>
                  </w:r>
                  <w:r>
                    <w:rPr>
                      <w:sz w:val="21"/>
                    </w:rPr>
                    <w:t>人</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4</w:t>
                  </w:r>
                </w:p>
              </w:tc>
              <w:tc>
                <w:tcPr>
                  <w:tcW w:type="dxa" w:w="1230"/>
                  <w:gridSpan w:val="2"/>
                  <w:vMerge/>
                  <w:tcBorders>
                    <w:top w:val="none" w:color="000000" w:sz="4"/>
                    <w:left w:val="none" w:color="000000" w:sz="4"/>
                    <w:bottom w:val="single" w:color="000000" w:sz="4"/>
                    <w:right w:val="single" w:color="000000" w:sz="4"/>
                  </w:tcBorders>
                </w:tcPr>
                <w:p/>
              </w:tc>
              <w:tc>
                <w:tcPr>
                  <w:tcW w:type="dxa" w:w="2145"/>
                  <w:tcBorders>
                    <w:top w:val="none" w:color="000000" w:sz="4"/>
                    <w:left w:val="none" w:color="000000" w:sz="4"/>
                    <w:bottom w:val="single" w:color="000000" w:sz="4"/>
                    <w:right w:val="single" w:color="000000" w:sz="4"/>
                  </w:tcBorders>
                  <w:vAlign w:val="top"/>
                </w:tcPr>
                <w:p>
                  <w:pPr>
                    <w:jc w:val="center"/>
                  </w:pPr>
                  <w:r>
                    <w:rPr>
                      <w:sz w:val="21"/>
                    </w:rPr>
                    <w:t>服务人员私自调班并未知会项目负责人的</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每次扣减</w:t>
                  </w:r>
                  <w:r>
                    <w:rPr>
                      <w:sz w:val="21"/>
                    </w:rPr>
                    <w:t>2</w:t>
                  </w:r>
                  <w:r>
                    <w:rPr>
                      <w:sz w:val="21"/>
                    </w:rPr>
                    <w:t>分</w:t>
                  </w:r>
                  <w:r>
                    <w:rPr>
                      <w:sz w:val="21"/>
                    </w:rPr>
                    <w:t>/</w:t>
                  </w:r>
                  <w:r>
                    <w:rPr>
                      <w:sz w:val="21"/>
                    </w:rPr>
                    <w:t>人</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5</w:t>
                  </w:r>
                </w:p>
              </w:tc>
              <w:tc>
                <w:tcPr>
                  <w:tcW w:type="dxa" w:w="1230"/>
                  <w:gridSpan w:val="2"/>
                  <w:vMerge/>
                  <w:tcBorders>
                    <w:top w:val="none" w:color="000000" w:sz="4"/>
                    <w:left w:val="none" w:color="000000" w:sz="4"/>
                    <w:bottom w:val="single" w:color="000000" w:sz="4"/>
                    <w:right w:val="single" w:color="000000" w:sz="4"/>
                  </w:tcBorders>
                </w:tcPr>
                <w:p/>
              </w:tc>
              <w:tc>
                <w:tcPr>
                  <w:tcW w:type="dxa" w:w="2145"/>
                  <w:tcBorders>
                    <w:top w:val="none" w:color="000000" w:sz="4"/>
                    <w:left w:val="none" w:color="000000" w:sz="4"/>
                    <w:bottom w:val="single" w:color="000000" w:sz="4"/>
                    <w:right w:val="single" w:color="000000" w:sz="4"/>
                  </w:tcBorders>
                  <w:vAlign w:val="top"/>
                </w:tcPr>
                <w:p>
                  <w:pPr>
                    <w:jc w:val="center"/>
                  </w:pPr>
                  <w:r>
                    <w:rPr>
                      <w:sz w:val="21"/>
                    </w:rPr>
                    <w:t>服务人员在工作时间擅自离位或从事与工作无关活动</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每次扣减</w:t>
                  </w:r>
                  <w:r>
                    <w:rPr>
                      <w:sz w:val="21"/>
                    </w:rPr>
                    <w:t>2</w:t>
                  </w:r>
                  <w:r>
                    <w:rPr>
                      <w:sz w:val="21"/>
                    </w:rPr>
                    <w:t>分</w:t>
                  </w:r>
                  <w:r>
                    <w:rPr>
                      <w:sz w:val="21"/>
                    </w:rPr>
                    <w:t>/</w:t>
                  </w:r>
                  <w:r>
                    <w:rPr>
                      <w:sz w:val="21"/>
                    </w:rPr>
                    <w:t>人</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6</w:t>
                  </w:r>
                </w:p>
              </w:tc>
              <w:tc>
                <w:tcPr>
                  <w:tcW w:type="dxa" w:w="1230"/>
                  <w:gridSpan w:val="2"/>
                  <w:vMerge/>
                  <w:tcBorders>
                    <w:top w:val="none" w:color="000000" w:sz="4"/>
                    <w:left w:val="none" w:color="000000" w:sz="4"/>
                    <w:bottom w:val="single" w:color="000000" w:sz="4"/>
                    <w:right w:val="single" w:color="000000" w:sz="4"/>
                  </w:tcBorders>
                </w:tcPr>
                <w:p/>
              </w:tc>
              <w:tc>
                <w:tcPr>
                  <w:tcW w:type="dxa" w:w="2145"/>
                  <w:tcBorders>
                    <w:top w:val="none" w:color="000000" w:sz="4"/>
                    <w:left w:val="none" w:color="000000" w:sz="4"/>
                    <w:bottom w:val="single" w:color="000000" w:sz="4"/>
                    <w:right w:val="single" w:color="000000" w:sz="4"/>
                  </w:tcBorders>
                  <w:vAlign w:val="top"/>
                </w:tcPr>
                <w:p>
                  <w:pPr>
                    <w:jc w:val="center"/>
                  </w:pPr>
                  <w:r>
                    <w:rPr>
                      <w:sz w:val="21"/>
                    </w:rPr>
                    <w:t>服务人员无故一个月内旷工一天</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每次扣减</w:t>
                  </w:r>
                  <w:r>
                    <w:rPr>
                      <w:sz w:val="21"/>
                    </w:rPr>
                    <w:t>4</w:t>
                  </w:r>
                  <w:r>
                    <w:rPr>
                      <w:sz w:val="21"/>
                    </w:rPr>
                    <w:t>分</w:t>
                  </w:r>
                  <w:r>
                    <w:rPr>
                      <w:sz w:val="21"/>
                    </w:rPr>
                    <w:t>/</w:t>
                  </w:r>
                  <w:r>
                    <w:rPr>
                      <w:sz w:val="21"/>
                    </w:rPr>
                    <w:t>人</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7</w:t>
                  </w:r>
                </w:p>
              </w:tc>
              <w:tc>
                <w:tcPr>
                  <w:tcW w:type="dxa" w:w="510"/>
                  <w:vMerge w:val="restart"/>
                  <w:tcBorders>
                    <w:top w:val="none" w:color="000000" w:sz="4"/>
                    <w:left w:val="none" w:color="000000" w:sz="4"/>
                    <w:bottom w:val="single" w:color="000000" w:sz="4"/>
                    <w:right w:val="single" w:color="000000" w:sz="4"/>
                  </w:tcBorders>
                  <w:vAlign w:val="top"/>
                </w:tcPr>
                <w:p>
                  <w:pPr>
                    <w:jc w:val="center"/>
                  </w:pPr>
                  <w:r>
                    <w:rPr>
                      <w:sz w:val="21"/>
                    </w:rPr>
                    <w:t>服务人员</w:t>
                  </w:r>
                </w:p>
                <w:p>
                  <w:pPr>
                    <w:jc w:val="center"/>
                  </w:pPr>
                  <w:r>
                    <w:rPr>
                      <w:sz w:val="21"/>
                    </w:rPr>
                    <w:t>质量</w:t>
                  </w:r>
                </w:p>
              </w:tc>
              <w:tc>
                <w:tcPr>
                  <w:tcW w:type="dxa" w:w="720"/>
                  <w:tcBorders>
                    <w:top w:val="none" w:color="000000" w:sz="4"/>
                    <w:left w:val="none" w:color="000000" w:sz="4"/>
                    <w:bottom w:val="single" w:color="000000" w:sz="4"/>
                    <w:right w:val="single" w:color="000000" w:sz="4"/>
                  </w:tcBorders>
                  <w:vAlign w:val="top"/>
                </w:tcPr>
                <w:p>
                  <w:pPr>
                    <w:jc w:val="center"/>
                  </w:pPr>
                  <w:r>
                    <w:rPr>
                      <w:sz w:val="21"/>
                    </w:rPr>
                    <w:t>服务态度</w:t>
                  </w:r>
                </w:p>
              </w:tc>
              <w:tc>
                <w:tcPr>
                  <w:tcW w:type="dxa" w:w="2145"/>
                  <w:tcBorders>
                    <w:top w:val="none" w:color="000000" w:sz="4"/>
                    <w:left w:val="none" w:color="000000" w:sz="4"/>
                    <w:bottom w:val="single" w:color="000000" w:sz="4"/>
                    <w:right w:val="single" w:color="000000" w:sz="4"/>
                  </w:tcBorders>
                  <w:vAlign w:val="top"/>
                </w:tcPr>
                <w:p>
                  <w:pPr>
                    <w:jc w:val="center"/>
                  </w:pPr>
                  <w:r>
                    <w:rPr>
                      <w:sz w:val="21"/>
                    </w:rPr>
                    <w:t>服务人员工作态度好，群众服务意识强，月度无被查证确实的投诉。</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如有违反每次扣减</w:t>
                  </w:r>
                  <w:r>
                    <w:rPr>
                      <w:sz w:val="21"/>
                    </w:rPr>
                    <w:t>2</w:t>
                  </w:r>
                  <w:r>
                    <w:rPr>
                      <w:sz w:val="21"/>
                    </w:rPr>
                    <w:t>分</w:t>
                  </w:r>
                  <w:r>
                    <w:rPr>
                      <w:sz w:val="21"/>
                    </w:rPr>
                    <w:t>/</w:t>
                  </w:r>
                  <w:r>
                    <w:rPr>
                      <w:sz w:val="21"/>
                    </w:rPr>
                    <w:t>人</w:t>
                  </w:r>
                </w:p>
              </w:tc>
              <w:tc>
                <w:tcPr>
                  <w:tcW w:type="dxa" w:w="675"/>
                  <w:tcBorders>
                    <w:top w:val="singl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8</w:t>
                  </w:r>
                </w:p>
              </w:tc>
              <w:tc>
                <w:tcPr>
                  <w:tcW w:type="dxa" w:w="510"/>
                  <w:vMerge/>
                  <w:tcBorders>
                    <w:top w:val="none" w:color="000000" w:sz="4"/>
                    <w:left w:val="none" w:color="000000" w:sz="4"/>
                    <w:bottom w:val="single" w:color="000000" w:sz="4"/>
                    <w:right w:val="single" w:color="000000" w:sz="4"/>
                  </w:tcBorders>
                </w:tcPr>
                <w:p/>
              </w:tc>
              <w:tc>
                <w:tcPr>
                  <w:tcW w:type="dxa" w:w="720"/>
                  <w:vMerge w:val="restart"/>
                  <w:tcBorders>
                    <w:top w:val="none" w:color="000000" w:sz="4"/>
                    <w:left w:val="none" w:color="000000" w:sz="4"/>
                    <w:bottom w:val="single" w:color="000000" w:sz="4"/>
                    <w:right w:val="single" w:color="000000" w:sz="4"/>
                  </w:tcBorders>
                  <w:vAlign w:val="top"/>
                </w:tcPr>
                <w:p>
                  <w:pPr>
                    <w:jc w:val="center"/>
                  </w:pPr>
                  <w:r>
                    <w:rPr>
                      <w:sz w:val="21"/>
                    </w:rPr>
                    <w:t>思想品德</w:t>
                  </w:r>
                </w:p>
              </w:tc>
              <w:tc>
                <w:tcPr>
                  <w:tcW w:type="dxa" w:w="2145"/>
                  <w:tcBorders>
                    <w:top w:val="none" w:color="000000" w:sz="4"/>
                    <w:left w:val="none" w:color="000000" w:sz="4"/>
                    <w:bottom w:val="single" w:color="000000" w:sz="4"/>
                    <w:right w:val="single" w:color="000000" w:sz="4"/>
                  </w:tcBorders>
                  <w:vAlign w:val="top"/>
                </w:tcPr>
                <w:p>
                  <w:pPr>
                    <w:jc w:val="center"/>
                  </w:pPr>
                  <w:r>
                    <w:rPr>
                      <w:sz w:val="21"/>
                    </w:rPr>
                    <w:t>服务人员保密意识强，能够遵守保密要求。</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如有违反每次扣减</w:t>
                  </w:r>
                  <w:r>
                    <w:rPr>
                      <w:sz w:val="21"/>
                    </w:rPr>
                    <w:t>20</w:t>
                  </w:r>
                  <w:r>
                    <w:rPr>
                      <w:sz w:val="21"/>
                    </w:rPr>
                    <w:t>分</w:t>
                  </w:r>
                  <w:r>
                    <w:rPr>
                      <w:sz w:val="21"/>
                    </w:rPr>
                    <w:t>/</w:t>
                  </w:r>
                  <w:r>
                    <w:rPr>
                      <w:sz w:val="21"/>
                    </w:rPr>
                    <w:t>人，并立即更换人员</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9</w:t>
                  </w:r>
                </w:p>
              </w:tc>
              <w:tc>
                <w:tcPr>
                  <w:tcW w:type="dxa" w:w="510"/>
                  <w:vMerge/>
                  <w:tcBorders>
                    <w:top w:val="none" w:color="000000" w:sz="4"/>
                    <w:left w:val="none" w:color="000000" w:sz="4"/>
                    <w:bottom w:val="single" w:color="000000" w:sz="4"/>
                    <w:right w:val="single" w:color="000000" w:sz="4"/>
                  </w:tcBorders>
                </w:tcPr>
                <w:p/>
              </w:tc>
              <w:tc>
                <w:tcPr>
                  <w:tcW w:type="dxa" w:w="720"/>
                  <w:vMerge/>
                  <w:tcBorders>
                    <w:top w:val="none" w:color="000000" w:sz="4"/>
                    <w:left w:val="none" w:color="000000" w:sz="4"/>
                    <w:bottom w:val="single" w:color="000000" w:sz="4"/>
                    <w:right w:val="single" w:color="000000" w:sz="4"/>
                  </w:tcBorders>
                </w:tcPr>
                <w:p/>
              </w:tc>
              <w:tc>
                <w:tcPr>
                  <w:tcW w:type="dxa" w:w="2145"/>
                  <w:tcBorders>
                    <w:top w:val="none" w:color="000000" w:sz="4"/>
                    <w:left w:val="none" w:color="000000" w:sz="4"/>
                    <w:bottom w:val="single" w:color="000000" w:sz="4"/>
                    <w:right w:val="single" w:color="000000" w:sz="4"/>
                  </w:tcBorders>
                  <w:vAlign w:val="top"/>
                </w:tcPr>
                <w:p>
                  <w:pPr>
                    <w:jc w:val="center"/>
                  </w:pPr>
                  <w:r>
                    <w:rPr>
                      <w:sz w:val="21"/>
                    </w:rPr>
                    <w:t>遵守单位相关工作规章制度，按科室工作安排，执行考勤制度，无不良嗜好。</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如有违反每次扣减</w:t>
                  </w:r>
                  <w:r>
                    <w:rPr>
                      <w:sz w:val="21"/>
                    </w:rPr>
                    <w:t>2</w:t>
                  </w:r>
                  <w:r>
                    <w:rPr>
                      <w:sz w:val="21"/>
                    </w:rPr>
                    <w:t>分</w:t>
                  </w:r>
                  <w:r>
                    <w:rPr>
                      <w:sz w:val="21"/>
                    </w:rPr>
                    <w:t>/</w:t>
                  </w:r>
                  <w:r>
                    <w:rPr>
                      <w:sz w:val="21"/>
                    </w:rPr>
                    <w:t>人</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510"/>
                  <w:vMerge/>
                  <w:tcBorders>
                    <w:top w:val="none" w:color="000000" w:sz="4"/>
                    <w:left w:val="none" w:color="000000" w:sz="4"/>
                    <w:bottom w:val="single" w:color="000000" w:sz="4"/>
                    <w:right w:val="single" w:color="000000" w:sz="4"/>
                  </w:tcBorders>
                </w:tcPr>
                <w:p/>
              </w:tc>
              <w:tc>
                <w:tcPr>
                  <w:tcW w:type="dxa" w:w="720"/>
                  <w:vMerge/>
                  <w:tcBorders>
                    <w:top w:val="none" w:color="000000" w:sz="4"/>
                    <w:left w:val="none" w:color="000000" w:sz="4"/>
                    <w:bottom w:val="single" w:color="000000" w:sz="4"/>
                    <w:right w:val="single" w:color="000000" w:sz="4"/>
                  </w:tcBorders>
                </w:tcPr>
                <w:p/>
              </w:tc>
              <w:tc>
                <w:tcPr>
                  <w:tcW w:type="dxa" w:w="2145"/>
                  <w:tcBorders>
                    <w:top w:val="none" w:color="000000" w:sz="4"/>
                    <w:left w:val="none" w:color="000000" w:sz="4"/>
                    <w:bottom w:val="single" w:color="000000" w:sz="4"/>
                    <w:right w:val="single" w:color="000000" w:sz="4"/>
                  </w:tcBorders>
                  <w:vAlign w:val="top"/>
                </w:tcPr>
                <w:p>
                  <w:pPr>
                    <w:jc w:val="center"/>
                  </w:pPr>
                  <w:r>
                    <w:rPr>
                      <w:sz w:val="21"/>
                    </w:rPr>
                    <w:t>服务人员服务态度好，合作意识强，能够配合开展团队管理工作。</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如有违反每次扣减</w:t>
                  </w:r>
                  <w:r>
                    <w:rPr>
                      <w:sz w:val="21"/>
                    </w:rPr>
                    <w:t>2</w:t>
                  </w:r>
                  <w:r>
                    <w:rPr>
                      <w:sz w:val="21"/>
                    </w:rPr>
                    <w:t>分</w:t>
                  </w:r>
                  <w:r>
                    <w:rPr>
                      <w:sz w:val="21"/>
                    </w:rPr>
                    <w:t>/</w:t>
                  </w:r>
                  <w:r>
                    <w:rPr>
                      <w:sz w:val="21"/>
                    </w:rPr>
                    <w:t>人</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11</w:t>
                  </w:r>
                </w:p>
              </w:tc>
              <w:tc>
                <w:tcPr>
                  <w:tcW w:type="dxa" w:w="510"/>
                  <w:vMerge w:val="restart"/>
                  <w:tcBorders>
                    <w:top w:val="none" w:color="000000" w:sz="4"/>
                    <w:left w:val="none" w:color="000000" w:sz="4"/>
                    <w:bottom w:val="single" w:color="000000" w:sz="4"/>
                    <w:right w:val="single" w:color="000000" w:sz="4"/>
                  </w:tcBorders>
                  <w:vAlign w:val="top"/>
                </w:tcPr>
                <w:p>
                  <w:pPr>
                    <w:jc w:val="center"/>
                  </w:pPr>
                  <w:r>
                    <w:rPr>
                      <w:sz w:val="21"/>
                    </w:rPr>
                    <w:t>服务人员工作表现</w:t>
                  </w:r>
                </w:p>
              </w:tc>
              <w:tc>
                <w:tcPr>
                  <w:tcW w:type="dxa" w:w="720"/>
                  <w:vMerge w:val="restart"/>
                  <w:tcBorders>
                    <w:top w:val="none" w:color="000000" w:sz="4"/>
                    <w:left w:val="none" w:color="000000" w:sz="4"/>
                    <w:bottom w:val="single" w:color="000000" w:sz="4"/>
                    <w:right w:val="single" w:color="000000" w:sz="4"/>
                  </w:tcBorders>
                  <w:vAlign w:val="top"/>
                </w:tcPr>
                <w:p>
                  <w:pPr>
                    <w:jc w:val="center"/>
                  </w:pPr>
                  <w:r>
                    <w:rPr>
                      <w:sz w:val="21"/>
                    </w:rPr>
                    <w:t>文员</w:t>
                  </w:r>
                </w:p>
              </w:tc>
              <w:tc>
                <w:tcPr>
                  <w:tcW w:type="dxa" w:w="2145"/>
                  <w:tcBorders>
                    <w:top w:val="none" w:color="000000" w:sz="4"/>
                    <w:left w:val="none" w:color="000000" w:sz="4"/>
                    <w:bottom w:val="single" w:color="000000" w:sz="4"/>
                    <w:right w:val="single" w:color="000000" w:sz="4"/>
                  </w:tcBorders>
                  <w:vAlign w:val="top"/>
                </w:tcPr>
                <w:p>
                  <w:pPr>
                    <w:jc w:val="center"/>
                  </w:pPr>
                  <w:r>
                    <w:rPr>
                      <w:sz w:val="21"/>
                    </w:rPr>
                    <w:t>数据录入：完成单位安排的数据资料录入</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如有违反每次扣减</w:t>
                  </w:r>
                  <w:r>
                    <w:rPr>
                      <w:sz w:val="21"/>
                    </w:rPr>
                    <w:t>2</w:t>
                  </w:r>
                  <w:r>
                    <w:rPr>
                      <w:sz w:val="21"/>
                    </w:rPr>
                    <w:t>分</w:t>
                  </w:r>
                  <w:r>
                    <w:rPr>
                      <w:sz w:val="21"/>
                    </w:rPr>
                    <w:t>/</w:t>
                  </w:r>
                  <w:r>
                    <w:rPr>
                      <w:sz w:val="21"/>
                    </w:rPr>
                    <w:t>人</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12</w:t>
                  </w:r>
                </w:p>
              </w:tc>
              <w:tc>
                <w:tcPr>
                  <w:tcW w:type="dxa" w:w="510"/>
                  <w:vMerge/>
                  <w:tcBorders>
                    <w:top w:val="none" w:color="000000" w:sz="4"/>
                    <w:left w:val="none" w:color="000000" w:sz="4"/>
                    <w:bottom w:val="single" w:color="000000" w:sz="4"/>
                    <w:right w:val="single" w:color="000000" w:sz="4"/>
                  </w:tcBorders>
                </w:tcPr>
                <w:p/>
              </w:tc>
              <w:tc>
                <w:tcPr>
                  <w:tcW w:type="dxa" w:w="720"/>
                  <w:vMerge/>
                  <w:tcBorders>
                    <w:top w:val="none" w:color="000000" w:sz="4"/>
                    <w:left w:val="none" w:color="000000" w:sz="4"/>
                    <w:bottom w:val="single" w:color="000000" w:sz="4"/>
                    <w:right w:val="single" w:color="000000" w:sz="4"/>
                  </w:tcBorders>
                </w:tcPr>
                <w:p/>
              </w:tc>
              <w:tc>
                <w:tcPr>
                  <w:tcW w:type="dxa" w:w="2145"/>
                  <w:tcBorders>
                    <w:top w:val="none" w:color="000000" w:sz="4"/>
                    <w:left w:val="none" w:color="000000" w:sz="4"/>
                    <w:bottom w:val="single" w:color="000000" w:sz="4"/>
                    <w:right w:val="single" w:color="000000" w:sz="4"/>
                  </w:tcBorders>
                  <w:vAlign w:val="top"/>
                </w:tcPr>
                <w:p>
                  <w:pPr>
                    <w:jc w:val="center"/>
                  </w:pPr>
                  <w:r>
                    <w:rPr>
                      <w:sz w:val="21"/>
                    </w:rPr>
                    <w:t>建档工作：协助完成科室安排的就诊患者新建档和档案更新任务。</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如有违反每次扣减</w:t>
                  </w:r>
                  <w:r>
                    <w:rPr>
                      <w:sz w:val="21"/>
                    </w:rPr>
                    <w:t>2</w:t>
                  </w:r>
                  <w:r>
                    <w:rPr>
                      <w:sz w:val="21"/>
                    </w:rPr>
                    <w:t>分</w:t>
                  </w:r>
                  <w:r>
                    <w:rPr>
                      <w:sz w:val="21"/>
                    </w:rPr>
                    <w:t>/</w:t>
                  </w:r>
                  <w:r>
                    <w:rPr>
                      <w:sz w:val="21"/>
                    </w:rPr>
                    <w:t>人</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13</w:t>
                  </w:r>
                </w:p>
              </w:tc>
              <w:tc>
                <w:tcPr>
                  <w:tcW w:type="dxa" w:w="510"/>
                  <w:vMerge/>
                  <w:tcBorders>
                    <w:top w:val="none" w:color="000000" w:sz="4"/>
                    <w:left w:val="none" w:color="000000" w:sz="4"/>
                    <w:bottom w:val="single" w:color="000000" w:sz="4"/>
                    <w:right w:val="single" w:color="000000" w:sz="4"/>
                  </w:tcBorders>
                </w:tcPr>
                <w:p/>
              </w:tc>
              <w:tc>
                <w:tcPr>
                  <w:tcW w:type="dxa" w:w="720"/>
                  <w:vMerge/>
                  <w:tcBorders>
                    <w:top w:val="none" w:color="000000" w:sz="4"/>
                    <w:left w:val="none" w:color="000000" w:sz="4"/>
                    <w:bottom w:val="single" w:color="000000" w:sz="4"/>
                    <w:right w:val="single" w:color="000000" w:sz="4"/>
                  </w:tcBorders>
                </w:tcPr>
                <w:p/>
              </w:tc>
              <w:tc>
                <w:tcPr>
                  <w:tcW w:type="dxa" w:w="2145"/>
                  <w:tcBorders>
                    <w:top w:val="none" w:color="000000" w:sz="4"/>
                    <w:left w:val="none" w:color="000000" w:sz="4"/>
                    <w:bottom w:val="single" w:color="000000" w:sz="4"/>
                    <w:right w:val="single" w:color="000000" w:sz="4"/>
                  </w:tcBorders>
                  <w:vAlign w:val="top"/>
                </w:tcPr>
                <w:p>
                  <w:pPr>
                    <w:jc w:val="center"/>
                  </w:pPr>
                  <w:r>
                    <w:rPr>
                      <w:sz w:val="21"/>
                    </w:rPr>
                    <w:t>药具管理：按规范做好药具发放、咨询、随访。宣传服务，做好台账管理。</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如有违反每次扣减</w:t>
                  </w:r>
                  <w:r>
                    <w:rPr>
                      <w:sz w:val="21"/>
                    </w:rPr>
                    <w:t>2</w:t>
                  </w:r>
                  <w:r>
                    <w:rPr>
                      <w:sz w:val="21"/>
                    </w:rPr>
                    <w:t>分</w:t>
                  </w:r>
                  <w:r>
                    <w:rPr>
                      <w:sz w:val="21"/>
                    </w:rPr>
                    <w:t>/</w:t>
                  </w:r>
                  <w:r>
                    <w:rPr>
                      <w:sz w:val="21"/>
                    </w:rPr>
                    <w:t>人</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95"/>
                  <w:tcBorders>
                    <w:top w:val="none" w:color="000000" w:sz="4"/>
                    <w:left w:val="single" w:color="000000" w:sz="4"/>
                    <w:bottom w:val="single" w:color="000000" w:sz="4"/>
                    <w:right w:val="single" w:color="000000" w:sz="4"/>
                  </w:tcBorders>
                  <w:vAlign w:val="top"/>
                </w:tcPr>
                <w:p>
                  <w:pPr>
                    <w:jc w:val="center"/>
                  </w:pPr>
                  <w:r>
                    <w:rPr>
                      <w:sz w:val="21"/>
                    </w:rPr>
                    <w:t>14</w:t>
                  </w:r>
                </w:p>
              </w:tc>
              <w:tc>
                <w:tcPr>
                  <w:tcW w:type="dxa" w:w="510"/>
                  <w:vMerge/>
                  <w:tcBorders>
                    <w:top w:val="none" w:color="000000" w:sz="4"/>
                    <w:left w:val="none" w:color="000000" w:sz="4"/>
                    <w:bottom w:val="single" w:color="000000" w:sz="4"/>
                    <w:right w:val="single" w:color="000000" w:sz="4"/>
                  </w:tcBorders>
                </w:tcPr>
                <w:p/>
              </w:tc>
              <w:tc>
                <w:tcPr>
                  <w:tcW w:type="dxa" w:w="720"/>
                  <w:vMerge/>
                  <w:tcBorders>
                    <w:top w:val="none" w:color="000000" w:sz="4"/>
                    <w:left w:val="none" w:color="000000" w:sz="4"/>
                    <w:bottom w:val="single" w:color="000000" w:sz="4"/>
                    <w:right w:val="single" w:color="000000" w:sz="4"/>
                  </w:tcBorders>
                </w:tcPr>
                <w:p/>
              </w:tc>
              <w:tc>
                <w:tcPr>
                  <w:tcW w:type="dxa" w:w="2145"/>
                  <w:tcBorders>
                    <w:top w:val="none" w:color="000000" w:sz="4"/>
                    <w:left w:val="none" w:color="000000" w:sz="4"/>
                    <w:bottom w:val="single" w:color="000000" w:sz="4"/>
                    <w:right w:val="single" w:color="000000" w:sz="4"/>
                  </w:tcBorders>
                  <w:vAlign w:val="top"/>
                </w:tcPr>
                <w:p>
                  <w:pPr>
                    <w:jc w:val="center"/>
                  </w:pPr>
                  <w:r>
                    <w:rPr>
                      <w:sz w:val="21"/>
                    </w:rPr>
                    <w:t>健康教育：协助做好辖区健康宣教工作，做好资料归档及质控。</w:t>
                  </w:r>
                </w:p>
              </w:tc>
              <w:tc>
                <w:tcPr>
                  <w:tcW w:type="dxa" w:w="1005"/>
                  <w:tcBorders>
                    <w:top w:val="none" w:color="000000" w:sz="4"/>
                    <w:left w:val="none" w:color="000000" w:sz="4"/>
                    <w:bottom w:val="single" w:color="000000" w:sz="4"/>
                    <w:right w:val="single" w:color="000000" w:sz="4"/>
                  </w:tcBorders>
                  <w:vAlign w:val="top"/>
                </w:tcPr>
                <w:p>
                  <w:pPr>
                    <w:jc w:val="center"/>
                  </w:pPr>
                  <w:r>
                    <w:rPr>
                      <w:sz w:val="21"/>
                    </w:rPr>
                    <w:t>如有违反每次扣减</w:t>
                  </w:r>
                  <w:r>
                    <w:rPr>
                      <w:sz w:val="21"/>
                    </w:rPr>
                    <w:t>2</w:t>
                  </w:r>
                  <w:r>
                    <w:rPr>
                      <w:sz w:val="21"/>
                    </w:rPr>
                    <w:t>分</w:t>
                  </w:r>
                  <w:r>
                    <w:rPr>
                      <w:sz w:val="21"/>
                    </w:rPr>
                    <w:t>/</w:t>
                  </w:r>
                  <w:r>
                    <w:rPr>
                      <w:sz w:val="21"/>
                    </w:rPr>
                    <w:t>人</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4875"/>
                  <w:gridSpan w:val="5"/>
                  <w:tcBorders>
                    <w:top w:val="none" w:color="000000" w:sz="4"/>
                    <w:left w:val="single" w:color="000000" w:sz="4"/>
                    <w:bottom w:val="single" w:color="000000" w:sz="4"/>
                    <w:right w:val="single" w:color="000000" w:sz="4"/>
                  </w:tcBorders>
                  <w:vAlign w:val="top"/>
                </w:tcPr>
                <w:p>
                  <w:pPr>
                    <w:jc w:val="center"/>
                  </w:pPr>
                  <w:r>
                    <w:rPr>
                      <w:sz w:val="21"/>
                    </w:rPr>
                    <w:t>总分</w:t>
                  </w:r>
                  <w:r>
                    <w:rPr>
                      <w:sz w:val="21"/>
                    </w:rPr>
                    <w:t>100</w:t>
                  </w:r>
                  <w:r>
                    <w:rPr>
                      <w:sz w:val="21"/>
                    </w:rPr>
                    <w:t>分，扣完为止</w:t>
                  </w:r>
                </w:p>
              </w:tc>
              <w:tc>
                <w:tcPr>
                  <w:tcW w:type="dxa" w:w="675"/>
                  <w:tcBorders>
                    <w:top w:val="none" w:color="000000" w:sz="4"/>
                    <w:left w:val="none" w:color="000000" w:sz="4"/>
                    <w:bottom w:val="single" w:color="000000" w:sz="4"/>
                    <w:right w:val="single" w:color="000000" w:sz="4"/>
                  </w:tcBorders>
                  <w:vAlign w:val="top"/>
                </w:tcPr>
                <w:p>
                  <w:pPr>
                    <w:jc w:val="center"/>
                  </w:pPr>
                </w:p>
              </w:tc>
            </w:tr>
            <w:tr>
              <w:tc>
                <w:tcPr>
                  <w:tcW w:type="dxa" w:w="1725"/>
                  <w:gridSpan w:val="3"/>
                  <w:tcBorders>
                    <w:top w:val="none" w:color="000000" w:sz="4"/>
                    <w:left w:val="single" w:color="000000" w:sz="4"/>
                    <w:bottom w:val="single" w:color="000000" w:sz="4"/>
                    <w:right w:val="single" w:color="000000" w:sz="4"/>
                  </w:tcBorders>
                  <w:vAlign w:val="top"/>
                </w:tcPr>
                <w:p>
                  <w:pPr>
                    <w:jc w:val="center"/>
                  </w:pPr>
                  <w:r>
                    <w:rPr>
                      <w:sz w:val="21"/>
                    </w:rPr>
                    <w:t>合计</w:t>
                  </w:r>
                </w:p>
              </w:tc>
              <w:tc>
                <w:tcPr>
                  <w:tcW w:type="dxa" w:w="3150"/>
                  <w:gridSpan w:val="2"/>
                  <w:tcBorders>
                    <w:top w:val="none" w:color="000000" w:sz="4"/>
                    <w:left w:val="none" w:color="000000" w:sz="4"/>
                    <w:bottom w:val="single" w:color="000000" w:sz="4"/>
                    <w:right w:val="single" w:color="000000" w:sz="4"/>
                  </w:tcBorders>
                  <w:vAlign w:val="top"/>
                </w:tcPr>
                <w:p>
                  <w:pPr>
                    <w:jc w:val="center"/>
                  </w:pPr>
                  <w:r>
                    <w:rPr>
                      <w:sz w:val="21"/>
                    </w:rPr>
                    <w:t>最终得分</w:t>
                  </w:r>
                </w:p>
              </w:tc>
              <w:tc>
                <w:tcPr>
                  <w:tcW w:type="dxa" w:w="675"/>
                  <w:tcBorders>
                    <w:top w:val="single" w:color="000000" w:sz="4"/>
                    <w:left w:val="none" w:color="000000" w:sz="4"/>
                    <w:bottom w:val="single" w:color="000000" w:sz="4"/>
                    <w:right w:val="single" w:color="000000" w:sz="4"/>
                  </w:tcBorders>
                  <w:vAlign w:val="top"/>
                </w:tcPr>
                <w:p>
                  <w:pPr>
                    <w:jc w:val="center"/>
                  </w:pPr>
                </w:p>
              </w:tc>
            </w:tr>
          </w:tbl>
          <w:p>
            <w:pPr>
              <w:jc w:val="both"/>
            </w:pPr>
          </w:p>
          <w:p>
            <w:pPr>
              <w:jc w:val="both"/>
            </w:pPr>
            <w:r>
              <w:rPr>
                <w:b/>
                <w:sz w:val="21"/>
              </w:rPr>
              <w:t>评分人：</w:t>
            </w:r>
            <w:r>
              <w:rPr>
                <w:b/>
                <w:sz w:val="21"/>
              </w:rPr>
              <w:t xml:space="preserve">              </w:t>
            </w:r>
            <w:r>
              <w:rPr>
                <w:b/>
                <w:sz w:val="21"/>
              </w:rPr>
              <w:t>部门负责人确认：</w:t>
            </w:r>
            <w:r>
              <w:rPr>
                <w:b/>
                <w:sz w:val="21"/>
              </w:rPr>
              <w:t xml:space="preserve">               </w:t>
            </w:r>
            <w:r>
              <w:rPr>
                <w:b/>
                <w:sz w:val="21"/>
              </w:rPr>
              <w:t>单位盖章：</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1.采购代理机构：本项目是指广东嘉燊咨询有限公司，负责整个采购活动的组织，依法负责编制和发布磋商文件，对磋商文件拥有最终的解释权，不以任何身份出任磋商小组成员。</w:t>
      </w:r>
    </w:p>
    <w:p>
      <w:pPr>
        <w:ind w:firstLine="480"/>
      </w:pPr>
      <w:r>
        <w:rPr/>
        <w:t>2.采购人：本项目是指</w:t>
      </w:r>
      <w:r>
        <w:rPr/>
        <w:t>佛山市南海区里水镇社区卫生服务中心</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远程电子开标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采购包1：总价</w:t>
            </w:r>
          </w:p>
        </w:tc>
      </w:tr>
      <w:tr>
        <w:tc>
          <w:tcPr>
            <w:tcW w:type="dxa" w:w="1051"/>
          </w:tcPr>
          <w:p>
            <w:pPr>
              <w:jc w:val="center"/>
            </w:pPr>
            <w:r>
              <w:rPr/>
              <w:t>6</w:t>
            </w:r>
          </w:p>
        </w:tc>
        <w:tc>
          <w:tcPr>
            <w:tcW w:type="dxa" w:w="2252"/>
          </w:tcPr>
          <w:p>
            <w:r>
              <w:rPr/>
              <w:t>报价要求</w:t>
            </w:r>
          </w:p>
        </w:tc>
        <w:tc>
          <w:tcPr>
            <w:tcW w:type="dxa" w:w="5004"/>
          </w:tcPr>
          <w:p>
            <w:r>
              <w:rPr/>
              <w:t>各采购包报价不超过预算总价</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3家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项目兼投兼中（兼投不兼中）规则</w:t>
            </w:r>
          </w:p>
        </w:tc>
        <w:tc>
          <w:tcPr>
            <w:tcW w:type="dxa" w:w="5004"/>
          </w:tcPr>
          <w:p>
            <w:r>
              <w:rPr/>
              <w:t>无：-</w:t>
            </w:r>
          </w:p>
        </w:tc>
      </w:tr>
      <w:tr>
        <w:tc>
          <w:tcPr>
            <w:tcW w:type="dxa" w:w="1051"/>
          </w:tcPr>
          <w:p>
            <w:pPr>
              <w:jc w:val="center"/>
            </w:pPr>
            <w:r>
              <w:rPr/>
              <w:t>14</w:t>
            </w:r>
          </w:p>
        </w:tc>
        <w:tc>
          <w:tcPr>
            <w:tcW w:type="dxa" w:w="2252"/>
          </w:tcPr>
          <w:p>
            <w:r>
              <w:rPr/>
              <w:t>成交供应商确定方式</w:t>
            </w:r>
          </w:p>
        </w:tc>
        <w:tc>
          <w:tcPr>
            <w:tcW w:type="dxa" w:w="5004"/>
          </w:tcPr>
          <w:p>
            <w:r>
              <w:rPr/>
              <w:t>采购人按照评审报告中推荐的成交候选人确定中标（成交）人。</w:t>
            </w:r>
          </w:p>
        </w:tc>
      </w:tr>
      <w:tr>
        <w:tc>
          <w:tcPr>
            <w:tcW w:type="dxa" w:w="1051"/>
          </w:tcPr>
          <w:p>
            <w:pPr>
              <w:jc w:val="center"/>
            </w:pPr>
            <w:r>
              <w:rPr/>
              <w:t>15</w:t>
            </w:r>
          </w:p>
        </w:tc>
        <w:tc>
          <w:tcPr>
            <w:tcW w:type="dxa" w:w="2252"/>
          </w:tcPr>
          <w:p>
            <w:r>
              <w:rPr/>
              <w:t>代理服务费</w:t>
            </w:r>
          </w:p>
        </w:tc>
        <w:tc>
          <w:tcPr>
            <w:tcW w:type="dxa" w:w="5004"/>
          </w:tcPr>
          <w:p>
            <w:r>
              <w:rPr/>
              <w:t>收取。</w:t>
            </w:r>
          </w:p>
          <w:p>
            <w:r>
              <w:rPr/>
              <w:t>采购机构代理服务收费标准：采购机构代理服务收费标准：1、招标代理费收费标准：参照国家计委颁布的《招标代理服务收费管理暂行办法》（计价格[2002]1980号）及发改价格[2011]534号文中的计费类别“服务”的招标代理服务费收费标准执行。 2、计算方法：按差额定率累进法计算。</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pPr>
              <w:ind w:firstLine="480"/>
            </w:pPr>
            <w:r>
              <w:rPr>
                <w:b/>
              </w:rPr>
              <w:t>一、电子响应文件（必须提供）：</w:t>
            </w:r>
          </w:p>
          <w:p>
            <w:pPr>
              <w:ind w:firstLine="480"/>
            </w:pPr>
            <w:r>
              <w:rPr/>
              <w:t>（1）加密的电子响应文件 1 份（需在递交响应文件截止时间前成功上传至云平台项目采购系统）。</w:t>
            </w:r>
          </w:p>
          <w:p>
            <w:pPr>
              <w:ind w:firstLine="480"/>
            </w:pPr>
            <w:r>
              <w:rPr/>
              <w:t>（2）非加密电子版文件 U 盘(或光盘)</w:t>
            </w:r>
            <w:r>
              <w:rPr/>
              <w:t>0</w:t>
            </w:r>
            <w:r>
              <w:rPr/>
              <w:t>份，加密的电子响应文件与非加密的电子响应文件必须完全一致。</w:t>
            </w:r>
          </w:p>
          <w:p>
            <w:pPr>
              <w:ind w:firstLine="480"/>
            </w:pPr>
            <w:r>
              <w:rPr>
                <w:b/>
              </w:rPr>
              <w:t>非加密电子版响应文件使用情形:</w:t>
            </w:r>
            <w:r>
              <w:rPr/>
              <w:t>当无法使用 CA 证书在云平台项目采购系统进行电子响应文件开标解密时，供应商须在代理机构指引下启用非加密电子版响应文件。</w:t>
            </w:r>
          </w:p>
          <w:p>
            <w:pPr>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jc w:val="center"/>
            </w:pPr>
            <w:r>
              <w:rPr/>
              <w:t>18</w:t>
            </w:r>
          </w:p>
        </w:tc>
        <w:tc>
          <w:tcPr>
            <w:tcW w:type="dxa" w:w="2252"/>
          </w:tcPr>
          <w:p>
            <w:r>
              <w:rPr/>
              <w:t>其他</w:t>
            </w:r>
          </w:p>
        </w:tc>
        <w:tc>
          <w:tcPr>
            <w:tcW w:type="dxa" w:w="5004"/>
          </w:tcPr>
          <w:p>
            <w:pPr>
              <w:jc w:val="left"/>
            </w:pPr>
            <w:r>
              <w:rPr/>
              <w:t>其他，1、参与政府采购的中小微企业可凭借成交通知书或政府采购合同，利用“省中小融”、“ 粤信融”、“中征应收账款融资服务平台”等平台向金融机构申请融资，获得无财产抵押贷款。 2、响应文件信息公开要求，根据《佛山市南海区财政局关于印发的通知》（南财采〔 2020〕6 号）的有关规定，采购代理机构将在佛山市公共资源交易中心南海分中心“交易信息” 网页发布 中标（成交）公告的同时一并公示成交供应商的响应文件内容，接受社会公众监督，响应供应 商必须作出以下承诺（自拟格式）：（1）承诺同意采购人或其委托的代理机构将响应文件中以 下信息予以公开，公开内容包括：营业执照、资质证书、项目业绩、检验检测报告、履约验收 报告及评价、社保证明、设备发票、职称、各种证件（身份证 除外）、货物的规格型号及配置 参数等。以下投标文件信息不属于公开范围：法定代表人证明书、响应文件签署授权委托书、项目实施方案、售后服务方案。（2）供应商承诺保证上述应公示的内容的真实性，且确认涉及任何个人隐私、商业秘密和其他不可公开的内容。如若中标，同意采购人或其委托的代 理机 构将上述应公示的内容予以公开。3、请响应供应商特别注意，供应商提供虚假材料谋取中标、成交的，中标或者成交后无正当理由拒绝与采购人签订合同的行为均属于违法行为，将被处以采购金额千分之五以上千分之十以下的罚款，列入不良行为记录名单，在一至三年内禁止参加政府采购活动，有违法所得的，并处没收违法所得，情节严重的，由市场监督管理机关吊销营业执照；构成犯罪的，依法追究刑事责任。4、本项目不设替补供应商。</w:t>
            </w:r>
          </w:p>
        </w:tc>
      </w:tr>
      <w:tr>
        <w:tc>
          <w:tcPr>
            <w:tcW w:type="dxa" w:w="1051"/>
          </w:tcPr>
          <w:p>
            <w:pPr>
              <w:jc w:val="center"/>
            </w:pPr>
            <w:r>
              <w:rPr/>
              <w:t>19</w:t>
            </w:r>
          </w:p>
        </w:tc>
        <w:tc>
          <w:tcPr>
            <w:tcW w:type="dxa" w:w="2252"/>
          </w:tcPr>
          <w:p>
            <w:r>
              <w:rPr/>
              <w:t>开标解密时长</w:t>
            </w:r>
          </w:p>
        </w:tc>
        <w:tc>
          <w:tcPr>
            <w:tcW w:type="dxa" w:w="5004"/>
          </w:tcPr>
          <w:p>
            <w:r>
              <w:rPr/>
              <w:t>30分钟</w:t>
            </w: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采购包1：面向中小企业，采购包专门预留</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5.1联合体各方均应当满足《中华人民共和国政府采购法》第二十二条规定的条件，并在响应文件中提供联合体各方的相关证明材料。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广东嘉燊咨询有限公司</w:t>
      </w:r>
      <w:r>
        <w:rPr/>
        <w:t>代收。具体操作要求详见</w:t>
      </w:r>
      <w:r>
        <w:rPr/>
        <w:t>广东嘉燊咨询有限公司</w:t>
      </w:r>
      <w:r>
        <w:rPr/>
        <w:t>有关指引，递交事宜请自行咨询</w:t>
      </w:r>
      <w:r>
        <w:rPr/>
        <w:t>广东嘉燊咨询有限公司</w:t>
      </w:r>
      <w:r>
        <w:rPr/>
        <w:t>；请各供应商在响应文件递交截止时间前按须知前附表规定的金额递交至</w:t>
      </w:r>
      <w:r>
        <w:rPr/>
        <w:t>广东嘉燊咨询有限公司</w:t>
      </w:r>
      <w:r>
        <w:rPr/>
        <w:t>，到账情况以开启时</w:t>
      </w:r>
      <w:r>
        <w:rPr/>
        <w:t>广东嘉燊咨询有限公司</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w:t>
      </w:r>
      <w:r>
        <w:rPr/>
        <w:t>佛山市公共资源交易网（http://ggzy.foshan.gov.cn/），佛山市公共资源交易中心南海分中心（http://www.nhggzy.cn/jyh/ggzy），广东嘉燊咨询有限公司网站（http://www.gdjszx.cn）</w:t>
      </w:r>
      <w:r>
        <w:rPr/>
        <w:t>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w:t>
      </w:r>
      <w:r>
        <w:rPr/>
        <w:t>佛山市公共资源交易网（http://ggzy.foshan.gov.cn/），佛山市公共资源交易中心南海分中心（http://www.nhggzy.cn/jyh/ggzy），广东嘉燊咨询有限公司网站（http://www.gdjszx.cn）</w:t>
      </w:r>
      <w:r>
        <w:rPr/>
        <w:t>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陈工</w:t>
      </w:r>
    </w:p>
    <w:p>
      <w:pPr>
        <w:ind w:firstLine="480"/>
      </w:pPr>
      <w:r>
        <w:rPr/>
        <w:t>电话：</w:t>
      </w:r>
      <w:r>
        <w:rPr/>
        <w:t>0757-86223223</w:t>
      </w:r>
    </w:p>
    <w:p>
      <w:pPr>
        <w:ind w:firstLine="480"/>
      </w:pPr>
      <w:r>
        <w:rPr/>
        <w:t>传真：</w:t>
      </w:r>
      <w:r>
        <w:rPr/>
        <w:t>/</w:t>
      </w:r>
    </w:p>
    <w:p>
      <w:pPr>
        <w:ind w:firstLine="480"/>
      </w:pPr>
      <w:r>
        <w:rPr/>
        <w:t>邮箱：</w:t>
      </w:r>
      <w:r>
        <w:rPr/>
        <w:t>gd_jszx@126.com</w:t>
      </w:r>
    </w:p>
    <w:p>
      <w:pPr>
        <w:ind w:firstLine="480"/>
      </w:pPr>
      <w:r>
        <w:rPr/>
        <w:t>地址：</w:t>
      </w:r>
      <w:r>
        <w:rPr/>
        <w:t>佛山市南海区桂城街道华翠南路18号B09室自编B室(住所申报)</w:t>
      </w:r>
    </w:p>
    <w:p>
      <w:pPr>
        <w:ind w:firstLine="480"/>
      </w:pPr>
      <w:r>
        <w:rPr/>
        <w:t>邮编：</w:t>
      </w:r>
      <w:r>
        <w:rPr/>
        <w:t>528000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政府采购监督管理机构名称：佛山市南海区财政局政府采购管理股</w:t>
      </w:r>
    </w:p>
    <w:p>
      <w:r>
        <w:rPr/>
        <w:t>地  址：佛山市南海区桂城街道南新三路20号</w:t>
      </w:r>
    </w:p>
    <w:p>
      <w:r>
        <w:rPr/>
        <w:t>电  话：0757-86282779、86282776</w:t>
      </w:r>
    </w:p>
    <w:p>
      <w:r>
        <w:rPr/>
        <w:t>邮  编：528200</w:t>
      </w:r>
    </w:p>
    <w:p>
      <w:r>
        <w:rPr/>
        <w:t>传  真：-</w:t>
      </w:r>
    </w:p>
    <w:p/>
    <w:p>
      <w:r>
        <w:rPr>
          <w:b/>
          <w:sz w:val="28"/>
        </w:rPr>
        <w:t>八、合同签订和履行</w:t>
      </w:r>
    </w:p>
    <w:p>
      <w:r>
        <w:rPr>
          <w:b/>
          <w:sz w:val="24"/>
        </w:rPr>
        <w:t>1.合同签订</w:t>
      </w:r>
    </w:p>
    <w:p>
      <w:pPr>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1.3合同条款中应规定，乙方完全遵守《中华人民共和国劳动合同法》有关规定和《中华人民共和国妇女权益保障法》中关于“劳动和社会保障权益”的有关要求。</w:t>
      </w:r>
    </w:p>
    <w:p>
      <w:pPr>
        <w:ind w:firstLine="480"/>
      </w:pPr>
      <w:r>
        <w:rPr/>
        <w:t>1.4采购人应当自政府采购合同签订之日起2个工作日内，将政府采购合同在省级以上人民政府财政部门指定的媒体上公告，但政府采购合同中涉及国家秘密、商业秘密的内容除外。</w:t>
      </w:r>
    </w:p>
    <w:p>
      <w:pPr>
        <w:ind w:firstLine="480"/>
      </w:pPr>
      <w:r>
        <w:rPr/>
        <w:t>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采购包1(健促员服务外包项目)：综合评分法,是指响应文件满足磋商文件全部实质性要求，且按照评审因素的量化指标评审得分最高的投标人为成交候选人的评标方法。（最低报价不是成交的唯一依据。）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广东嘉燊咨询有限公司</w:t>
      </w:r>
      <w:r>
        <w:rPr/>
        <w:t>统一对外发布。</w:t>
      </w:r>
    </w:p>
    <w:p>
      <w:pPr>
        <w:ind w:firstLine="480"/>
      </w:pPr>
      <w:r>
        <w:rPr/>
        <w:t>（2）对</w:t>
      </w:r>
      <w:r>
        <w:rPr/>
        <w:t>广东嘉燊咨询有限公司</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采购包1（健促员服务外包项目）：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pPr>
        <w:ind w:firstLine="480"/>
      </w:pPr>
      <w:r>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表一资格性审查表：</w:t>
      </w:r>
    </w:p>
    <w:p>
      <w:pPr>
        <w:ind w:firstLine="480"/>
      </w:pPr>
    </w:p>
    <w:p/>
    <w:p>
      <w:r>
        <w:rPr/>
        <w:t>采购包1（健促员服务外包项目）：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供应商必须是中国大陆境内合法注册的独立法人或其分支机构，分支机构参与投标的需提供具有法人资格的上级公司营业执照副本扫描件及授权书，分支机构可沿用分支机构上级公司或供应商的各项资质、业绩、人员和证书荣誉。且供应商或其分支机构只允许有一家参与投标。投标（响应）时提交有效的营业执照（或事业法人登记证或身份证等相关证明）副本复印件。</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如依法免税或不需要缴纳社会保障资金的，提供相应证明材料，或提供《政府采购供应商资格信用承诺函》（承诺函格式见招标公告电子版附件）。</w:t>
            </w:r>
          </w:p>
        </w:tc>
      </w:tr>
      <w:tr>
        <w:tc>
          <w:tcPr>
            <w:tcW w:type="dxa" w:w="890"/>
          </w:tcPr>
          <w:p>
            <w:r>
              <w:rPr/>
              <w:t>3</w:t>
            </w:r>
          </w:p>
        </w:tc>
        <w:tc>
          <w:tcPr>
            <w:tcW w:type="dxa" w:w="3178"/>
          </w:tcPr>
          <w:p>
            <w:r>
              <w:rPr/>
              <w:t>具有良好的商业信誉和健全的财务会计制度</w:t>
            </w:r>
          </w:p>
        </w:tc>
        <w:tc>
          <w:tcPr>
            <w:tcW w:type="dxa" w:w="4238"/>
          </w:tcPr>
          <w:p>
            <w:r>
              <w:rPr/>
              <w:t>提供2022年度财务状况报告或2023年至磋商截止日期前任意一月的财务状况报表（至少包含资产负债表、利润表和现金流量表）或基本开户行出具的资信证明，或提供《政府采购供应商资格信用承诺函》（承诺函格式见招标公告电子版附件）。</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函相关承诺要求内容。（提供《响应承诺函》）</w:t>
            </w:r>
          </w:p>
        </w:tc>
      </w:tr>
      <w:tr>
        <w:tc>
          <w:tcPr>
            <w:tcW w:type="dxa" w:w="890"/>
          </w:tcPr>
          <w:p>
            <w:r>
              <w:rPr/>
              <w:t>8</w:t>
            </w:r>
          </w:p>
        </w:tc>
        <w:tc>
          <w:tcPr>
            <w:tcW w:type="dxa" w:w="3178"/>
          </w:tcPr>
          <w:p>
            <w:r>
              <w:rPr/>
              <w:t>本采购包专门面向中小企业采购</w:t>
            </w:r>
          </w:p>
        </w:tc>
        <w:tc>
          <w:tcPr>
            <w:tcW w:type="dxa" w:w="4238"/>
          </w:tcPr>
          <w:p>
            <w:r>
              <w:rPr/>
              <w:t>本项目属于专门面向中小企业的采购项目。中小企业具体标准根据《工业和信息化部、国家统计局、国家发展和改革委员会、财政部关于印发中小企业划型标准规定的通知》（工信部联企业〔2011〕300号）文件进行划分；监狱企业根据（财库〔2014〕68号）的规定；残疾人福利性单位根据（财库〔2017〕141号）的规定。提供有效的中小企业声明函（或残疾人福利性单位声明函或监狱企业证明文件），否则不予认定。本项目标的按照《中小企业划分标准规定》（工信部联企业[2011]300号）划分行业为：其他未列明行业。</w:t>
            </w:r>
          </w:p>
        </w:tc>
      </w:tr>
    </w:tbl>
    <w:p/>
    <w:p>
      <w:pPr>
        <w:ind w:firstLine="480"/>
      </w:pPr>
      <w:r>
        <w:rPr/>
        <w:t>表二符合性审查表：</w:t>
      </w:r>
    </w:p>
    <w:p>
      <w:pPr>
        <w:ind w:firstLine="480"/>
      </w:pPr>
    </w:p>
    <w:p/>
    <w:p>
      <w:r>
        <w:rPr/>
        <w:t>采购包1（健促员服务外包项目）：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响应文件有效性</w:t>
            </w:r>
          </w:p>
        </w:tc>
        <w:tc>
          <w:tcPr>
            <w:tcW w:type="dxa" w:w="4238"/>
          </w:tcPr>
          <w:p>
            <w:r>
              <w:rPr/>
              <w:t>按照采购文件规定要求签署、盖章且响应文件有法定代表人签字或盖章，或签字人有法定代表人有效授权书的。</w:t>
            </w:r>
          </w:p>
        </w:tc>
      </w:tr>
      <w:tr>
        <w:tc>
          <w:tcPr>
            <w:tcW w:type="dxa" w:w="890"/>
          </w:tcPr>
          <w:p>
            <w:r>
              <w:rPr/>
              <w:t>2</w:t>
            </w:r>
          </w:p>
        </w:tc>
        <w:tc>
          <w:tcPr>
            <w:tcW w:type="dxa" w:w="3178"/>
          </w:tcPr>
          <w:p>
            <w:r>
              <w:rPr/>
              <w:t>响应承诺函</w:t>
            </w:r>
          </w:p>
        </w:tc>
        <w:tc>
          <w:tcPr>
            <w:tcW w:type="dxa" w:w="4238"/>
          </w:tcPr>
          <w:p>
            <w:r>
              <w:rPr/>
              <w:t>响应承诺函已提交并符合采购文件要求的。</w:t>
            </w:r>
          </w:p>
        </w:tc>
      </w:tr>
      <w:tr>
        <w:tc>
          <w:tcPr>
            <w:tcW w:type="dxa" w:w="890"/>
          </w:tcPr>
          <w:p>
            <w:r>
              <w:rPr/>
              <w:t>3</w:t>
            </w:r>
          </w:p>
        </w:tc>
        <w:tc>
          <w:tcPr>
            <w:tcW w:type="dxa" w:w="3178"/>
          </w:tcPr>
          <w:p>
            <w:r>
              <w:rPr/>
              <w:t>投标报价是否超过预算金额</w:t>
            </w:r>
          </w:p>
        </w:tc>
        <w:tc>
          <w:tcPr>
            <w:tcW w:type="dxa" w:w="4238"/>
          </w:tcPr>
          <w:p>
            <w:r>
              <w:rPr/>
              <w:t>投标报价未超过本项目预算金额的。</w:t>
            </w:r>
          </w:p>
        </w:tc>
      </w:tr>
      <w:tr>
        <w:tc>
          <w:tcPr>
            <w:tcW w:type="dxa" w:w="890"/>
          </w:tcPr>
          <w:p>
            <w:r>
              <w:rPr/>
              <w:t>4</w:t>
            </w:r>
          </w:p>
        </w:tc>
        <w:tc>
          <w:tcPr>
            <w:tcW w:type="dxa" w:w="3178"/>
          </w:tcPr>
          <w:p>
            <w:r>
              <w:rPr/>
              <w:t>带★号实质性条款响应情况</w:t>
            </w:r>
          </w:p>
        </w:tc>
        <w:tc>
          <w:tcPr>
            <w:tcW w:type="dxa" w:w="4238"/>
          </w:tcPr>
          <w:p>
            <w:r>
              <w:rPr/>
              <w:t>响应文件完全满足采购文件的技术要求部分实质性条款（即标注★号条款）无负偏离的， 投标时须按要求填写《技术和服务要求响应表》（如有要求提供相关证明材料须按要求提供证明材料）。</w:t>
            </w:r>
          </w:p>
        </w:tc>
      </w:tr>
      <w:tr>
        <w:tc>
          <w:tcPr>
            <w:tcW w:type="dxa" w:w="890"/>
          </w:tcPr>
          <w:p>
            <w:r>
              <w:rPr/>
              <w:t>5</w:t>
            </w:r>
          </w:p>
        </w:tc>
        <w:tc>
          <w:tcPr>
            <w:tcW w:type="dxa" w:w="3178"/>
          </w:tcPr>
          <w:p>
            <w:r>
              <w:rPr/>
              <w:t>主要商务要求条款实质性条款响应情况</w:t>
            </w:r>
          </w:p>
        </w:tc>
        <w:tc>
          <w:tcPr>
            <w:tcW w:type="dxa" w:w="4238"/>
          </w:tcPr>
          <w:p>
            <w:r>
              <w:rPr/>
              <w:t>响应文件完全满足采购文件的主要商务要求条款实质性条款无负偏离的，投标时须按要求填写《商务条件响应表》。</w:t>
            </w:r>
          </w:p>
        </w:tc>
      </w:tr>
      <w:tr>
        <w:tc>
          <w:tcPr>
            <w:tcW w:type="dxa" w:w="890"/>
          </w:tcPr>
          <w:p>
            <w:r>
              <w:rPr/>
              <w:t>6</w:t>
            </w:r>
          </w:p>
        </w:tc>
        <w:tc>
          <w:tcPr>
            <w:tcW w:type="dxa" w:w="3178"/>
          </w:tcPr>
          <w:p>
            <w:r>
              <w:rPr/>
              <w:t>投标报价要求</w:t>
            </w:r>
          </w:p>
        </w:tc>
        <w:tc>
          <w:tcPr>
            <w:tcW w:type="dxa" w:w="4238"/>
          </w:tcPr>
          <w:p>
            <w:r>
              <w:rPr/>
              <w:t>投标报价方案是唯一的，符合采购文件的其他投标报价相关要求。</w:t>
            </w:r>
          </w:p>
        </w:tc>
      </w:tr>
      <w:tr>
        <w:tc>
          <w:tcPr>
            <w:tcW w:type="dxa" w:w="890"/>
          </w:tcPr>
          <w:p>
            <w:r>
              <w:rPr/>
              <w:t>7</w:t>
            </w:r>
          </w:p>
        </w:tc>
        <w:tc>
          <w:tcPr>
            <w:tcW w:type="dxa" w:w="3178"/>
          </w:tcPr>
          <w:p>
            <w:r>
              <w:rPr/>
              <w:t>其它</w:t>
            </w:r>
          </w:p>
        </w:tc>
        <w:tc>
          <w:tcPr>
            <w:tcW w:type="dxa" w:w="4238"/>
          </w:tcPr>
          <w:p>
            <w:r>
              <w:rPr/>
              <w:t>响应文件没有采购文件中规定的其它无效投标条款的。</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采购包1(健促员服务外包项目):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商务部分45.0分</w:t>
            </w:r>
          </w:p>
          <w:p>
            <w:r>
              <w:rPr/>
              <w:t>技术部分40.0分</w:t>
            </w:r>
          </w:p>
          <w:p>
            <w:r>
              <w:rPr/>
              <w:t>报价得分15.0分</w:t>
            </w:r>
          </w:p>
        </w:tc>
      </w:tr>
      <w:tr>
        <w:tc>
          <w:tcPr>
            <w:tcW w:type="dxa" w:w="922"/>
            <w:gridSpan w:val="2"/>
            <w:vMerge w:val="restart"/>
          </w:tcPr>
          <w:p>
            <w:pPr>
              <w:jc w:val="center"/>
            </w:pPr>
            <w:r>
              <w:rPr/>
              <w:t>技术部分</w:t>
            </w:r>
          </w:p>
        </w:tc>
        <w:tc>
          <w:tcPr>
            <w:tcW w:type="dxa" w:w="2307"/>
          </w:tcPr>
          <w:p>
            <w:pPr>
              <w:jc w:val="left"/>
            </w:pPr>
            <w:r>
              <w:rPr/>
              <w:t>管理规章制度 (5.0分)</w:t>
            </w:r>
            <w:r>
              <w:rPr/>
              <w:t>，（等次分值选择：</w:t>
            </w:r>
            <w:r>
              <w:rPr/>
              <w:t>0.0;</w:t>
            </w:r>
            <w:r>
              <w:rPr/>
              <w:t>3.0;</w:t>
            </w:r>
            <w:r>
              <w:rPr/>
              <w:t>4.0;</w:t>
            </w:r>
            <w:r>
              <w:rPr/>
              <w:t>5.0;</w:t>
            </w:r>
            <w:r>
              <w:rPr/>
              <w:t>）</w:t>
            </w:r>
          </w:p>
        </w:tc>
        <w:tc>
          <w:tcPr>
            <w:tcW w:type="dxa" w:w="5076"/>
          </w:tcPr>
          <w:p>
            <w:pPr>
              <w:jc w:val="left"/>
            </w:pPr>
            <w:r>
              <w:rPr/>
              <w:t>根据供应商的内部管理架构、项目服务措施、业务培训、保密制度等设立是否合理、科学进行综合评审： 1、管理规章制度完善、科学全面、可行性高，得5分；2、管理规章制度较为合理、科学性较好、较可行，得4分； 3、管理规章制度基本合理、科学性一般，基本可行得3分；4、未提供的不得分。</w:t>
            </w:r>
          </w:p>
        </w:tc>
      </w:tr>
      <w:tr>
        <w:tc>
          <w:tcPr>
            <w:tcW w:type="dxa" w:w="922"/>
            <w:gridSpan w:val="2"/>
            <w:vMerge/>
          </w:tcPr>
          <w:p/>
        </w:tc>
        <w:tc>
          <w:tcPr>
            <w:tcW w:type="dxa" w:w="2307"/>
          </w:tcPr>
          <w:p>
            <w:pPr>
              <w:jc w:val="left"/>
            </w:pPr>
            <w:r>
              <w:rPr/>
              <w:t>总体服务方案 (5.0分)</w:t>
            </w:r>
            <w:r>
              <w:rPr/>
              <w:t>，（等次分值选择：</w:t>
            </w:r>
            <w:r>
              <w:rPr/>
              <w:t>0.0;</w:t>
            </w:r>
            <w:r>
              <w:rPr/>
              <w:t>3.0;</w:t>
            </w:r>
            <w:r>
              <w:rPr/>
              <w:t>4.0;</w:t>
            </w:r>
            <w:r>
              <w:rPr/>
              <w:t>5.0;</w:t>
            </w:r>
            <w:r>
              <w:rPr/>
              <w:t>）</w:t>
            </w:r>
          </w:p>
        </w:tc>
        <w:tc>
          <w:tcPr>
            <w:tcW w:type="dxa" w:w="5076"/>
          </w:tcPr>
          <w:p>
            <w:pPr>
              <w:jc w:val="left"/>
            </w:pPr>
            <w:r>
              <w:rPr/>
              <w:t>对供应商服务目标的清晰明确性、是否切合项目需求等方面进行评审： 1、服务方案目标流程清晰明确，服务方案合理详细，优于竞争性磋商文件要求，可行性高，得5分； 2、服务方案目标流程清晰明确，服务方案合理，满足竞争性磋商文件要求，可行性较高，得4分； 3、服务方案目标流程含糊不明确，服务方案简略，基本满足竞争性磋商文件要求，可行性一般，得3分； 4、未提供的不得分。</w:t>
            </w:r>
          </w:p>
        </w:tc>
      </w:tr>
      <w:tr>
        <w:tc>
          <w:tcPr>
            <w:tcW w:type="dxa" w:w="922"/>
            <w:gridSpan w:val="2"/>
            <w:vMerge/>
          </w:tcPr>
          <w:p/>
        </w:tc>
        <w:tc>
          <w:tcPr>
            <w:tcW w:type="dxa" w:w="2307"/>
          </w:tcPr>
          <w:p>
            <w:pPr>
              <w:jc w:val="left"/>
            </w:pPr>
            <w:r>
              <w:rPr/>
              <w:t>人员管理方案 (5.0分)</w:t>
            </w:r>
            <w:r>
              <w:rPr/>
              <w:t>，（等次分值选择：</w:t>
            </w:r>
            <w:r>
              <w:rPr/>
              <w:t>0.0;</w:t>
            </w:r>
            <w:r>
              <w:rPr/>
              <w:t>3.0;</w:t>
            </w:r>
            <w:r>
              <w:rPr/>
              <w:t>4.0;</w:t>
            </w:r>
            <w:r>
              <w:rPr/>
              <w:t>5.0;</w:t>
            </w:r>
            <w:r>
              <w:rPr/>
              <w:t>）</w:t>
            </w:r>
          </w:p>
        </w:tc>
        <w:tc>
          <w:tcPr>
            <w:tcW w:type="dxa" w:w="5076"/>
          </w:tcPr>
          <w:p>
            <w:pPr>
              <w:jc w:val="left"/>
            </w:pPr>
            <w:r>
              <w:rPr/>
              <w:t>根据供应商对服务人员管理制度的设立是否合理、科学进行综合评审： 1、方案完善、科学全面、可行性高，得5分。2、方案较为合理、科学性较好、较可行，得4分； 3、方案基本合理、科学性一般，基本可行，得3分；4、未提供的不得分。</w:t>
            </w:r>
          </w:p>
        </w:tc>
      </w:tr>
      <w:tr>
        <w:tc>
          <w:tcPr>
            <w:tcW w:type="dxa" w:w="922"/>
            <w:gridSpan w:val="2"/>
            <w:vMerge/>
          </w:tcPr>
          <w:p/>
        </w:tc>
        <w:tc>
          <w:tcPr>
            <w:tcW w:type="dxa" w:w="2307"/>
          </w:tcPr>
          <w:p>
            <w:pPr>
              <w:jc w:val="left"/>
            </w:pPr>
            <w:r>
              <w:rPr/>
              <w:t>应急服务方案 (5.0分)</w:t>
            </w:r>
            <w:r>
              <w:rPr/>
              <w:t>，（等次分值选择：</w:t>
            </w:r>
            <w:r>
              <w:rPr/>
              <w:t>0.0;</w:t>
            </w:r>
            <w:r>
              <w:rPr/>
              <w:t>3.0;</w:t>
            </w:r>
            <w:r>
              <w:rPr/>
              <w:t>4.0;</w:t>
            </w:r>
            <w:r>
              <w:rPr/>
              <w:t>5.0;</w:t>
            </w:r>
            <w:r>
              <w:rPr/>
              <w:t>）</w:t>
            </w:r>
          </w:p>
        </w:tc>
        <w:tc>
          <w:tcPr>
            <w:tcW w:type="dxa" w:w="5076"/>
          </w:tcPr>
          <w:p>
            <w:pPr>
              <w:jc w:val="left"/>
            </w:pPr>
            <w:r>
              <w:rPr/>
              <w:t>根据供应商为本项目服务制定应急处理的快速解决方案（包括但不仅限于对服务人员流动补充、紧急事故处理、应急事项的时间安排等方案）进行综合评审： 1、方案详细、准确、合理、可行性高，得5分。2、方案较详细、较准确、相对合理、较可行，得4分；  3、方案尚可、一般准确、一般合理、基本可行，得3分；4、未提供的不得分。</w:t>
            </w:r>
          </w:p>
        </w:tc>
      </w:tr>
      <w:tr>
        <w:tc>
          <w:tcPr>
            <w:tcW w:type="dxa" w:w="922"/>
            <w:gridSpan w:val="2"/>
            <w:vMerge/>
          </w:tcPr>
          <w:p/>
        </w:tc>
        <w:tc>
          <w:tcPr>
            <w:tcW w:type="dxa" w:w="2307"/>
          </w:tcPr>
          <w:p>
            <w:pPr>
              <w:jc w:val="left"/>
            </w:pPr>
            <w:r>
              <w:rPr/>
              <w:t>服务质量保障措施 (5.0分)</w:t>
            </w:r>
            <w:r>
              <w:rPr/>
              <w:t>，（等次分值选择：</w:t>
            </w:r>
            <w:r>
              <w:rPr/>
              <w:t>0.0;</w:t>
            </w:r>
            <w:r>
              <w:rPr/>
              <w:t>3.0;</w:t>
            </w:r>
            <w:r>
              <w:rPr/>
              <w:t>4.0;</w:t>
            </w:r>
            <w:r>
              <w:rPr/>
              <w:t>5.0;</w:t>
            </w:r>
            <w:r>
              <w:rPr/>
              <w:t>）</w:t>
            </w:r>
          </w:p>
        </w:tc>
        <w:tc>
          <w:tcPr>
            <w:tcW w:type="dxa" w:w="5076"/>
          </w:tcPr>
          <w:p>
            <w:pPr>
              <w:jc w:val="left"/>
            </w:pPr>
            <w:r>
              <w:rPr/>
              <w:t>根据供应商的服务质量保障措施（包括但不限于服务质量方案、服务人员稳定性保障措施方案、保障制度措施等）进行综合评审： 1、方案详细、准确、合理、可行性高，得5分。2、方案较详细、较准确、相对合理、较可行，得4分； 3、方案尚可、一般准确、一般合理、基本可行，得3分；4、未提供的不得分。</w:t>
            </w:r>
          </w:p>
        </w:tc>
      </w:tr>
      <w:tr>
        <w:tc>
          <w:tcPr>
            <w:tcW w:type="dxa" w:w="922"/>
            <w:gridSpan w:val="2"/>
            <w:vMerge/>
          </w:tcPr>
          <w:p/>
        </w:tc>
        <w:tc>
          <w:tcPr>
            <w:tcW w:type="dxa" w:w="2307"/>
          </w:tcPr>
          <w:p>
            <w:pPr>
              <w:jc w:val="left"/>
            </w:pPr>
            <w:r>
              <w:rPr/>
              <w:t>人员培训方案 (5.0分)</w:t>
            </w:r>
            <w:r>
              <w:rPr/>
              <w:t>，（等次分值选择：</w:t>
            </w:r>
            <w:r>
              <w:rPr/>
              <w:t>0.0;</w:t>
            </w:r>
            <w:r>
              <w:rPr/>
              <w:t>3.0;</w:t>
            </w:r>
            <w:r>
              <w:rPr/>
              <w:t>4.0;</w:t>
            </w:r>
            <w:r>
              <w:rPr/>
              <w:t>5.0;</w:t>
            </w:r>
            <w:r>
              <w:rPr/>
              <w:t>）</w:t>
            </w:r>
          </w:p>
        </w:tc>
        <w:tc>
          <w:tcPr>
            <w:tcW w:type="dxa" w:w="5076"/>
          </w:tcPr>
          <w:p>
            <w:pPr>
              <w:jc w:val="left"/>
            </w:pPr>
            <w:r>
              <w:rPr/>
              <w:t>根据供应商针对本项目拟派服务人员培训方案进行评审： 1、人员培训方案详细、合理，流程清晰、可行性高，优于竞争性磋商文件要求，得5分； 2、人员培训方案较详细、合理，流程较清晰、可行性较高，满足竞争性磋商文件要求，得4分； 3、人员培训方案基本合理，流程基本可行，基本满足竞争性磋商文件要求，得3分； 4、未提供的不得分。</w:t>
            </w:r>
          </w:p>
        </w:tc>
      </w:tr>
      <w:tr>
        <w:tc>
          <w:tcPr>
            <w:tcW w:type="dxa" w:w="922"/>
            <w:gridSpan w:val="2"/>
            <w:vMerge/>
          </w:tcPr>
          <w:p/>
        </w:tc>
        <w:tc>
          <w:tcPr>
            <w:tcW w:type="dxa" w:w="2307"/>
          </w:tcPr>
          <w:p>
            <w:pPr>
              <w:jc w:val="left"/>
            </w:pPr>
            <w:r>
              <w:rPr/>
              <w:t>服务人员福利权益保障能力 (5.0分)</w:t>
            </w:r>
            <w:r>
              <w:rPr/>
              <w:t>，（等次分值选择：</w:t>
            </w:r>
            <w:r>
              <w:rPr/>
              <w:t>0.0;</w:t>
            </w:r>
            <w:r>
              <w:rPr/>
              <w:t>3.0;</w:t>
            </w:r>
            <w:r>
              <w:rPr/>
              <w:t>4.0;</w:t>
            </w:r>
            <w:r>
              <w:rPr/>
              <w:t>5.0;</w:t>
            </w:r>
            <w:r>
              <w:rPr/>
              <w:t>）</w:t>
            </w:r>
          </w:p>
        </w:tc>
        <w:tc>
          <w:tcPr>
            <w:tcW w:type="dxa" w:w="5076"/>
          </w:tcPr>
          <w:p>
            <w:pPr>
              <w:jc w:val="left"/>
            </w:pPr>
            <w:r>
              <w:rPr/>
              <w:t>根据各响应供应商服务人员权益及福利待遇保障措施（包括但不限于职工权益保障措施、福利待遇方案(须在响应文件中提供服务人员岗位费用明细)、服务人员上岗期间安全保障措施等）进行综合评审：1、职工权益及福利待遇保障措施详细、合理，得5分；2、职工权益及福利待遇保障措施较详细、较合理，得4分； 3、职工权益及福利待遇保障措施欠缺详细、欠缺合理，得3分；4、未提供的不得分。</w:t>
            </w:r>
          </w:p>
        </w:tc>
      </w:tr>
      <w:tr>
        <w:tc>
          <w:tcPr>
            <w:tcW w:type="dxa" w:w="922"/>
            <w:gridSpan w:val="2"/>
            <w:vMerge/>
          </w:tcPr>
          <w:p/>
        </w:tc>
        <w:tc>
          <w:tcPr>
            <w:tcW w:type="dxa" w:w="2307"/>
          </w:tcPr>
          <w:p>
            <w:pPr>
              <w:jc w:val="left"/>
            </w:pPr>
            <w:r>
              <w:rPr/>
              <w:t>个性化（增值）服务方案 (5.0分)</w:t>
            </w:r>
            <w:r>
              <w:rPr/>
              <w:t>，（等次分值选择：</w:t>
            </w:r>
            <w:r>
              <w:rPr/>
              <w:t>0.0;</w:t>
            </w:r>
            <w:r>
              <w:rPr/>
              <w:t>3.0;</w:t>
            </w:r>
            <w:r>
              <w:rPr/>
              <w:t>4.0;</w:t>
            </w:r>
            <w:r>
              <w:rPr/>
              <w:t>5.0;</w:t>
            </w:r>
            <w:r>
              <w:rPr/>
              <w:t>）</w:t>
            </w:r>
          </w:p>
        </w:tc>
        <w:tc>
          <w:tcPr>
            <w:tcW w:type="dxa" w:w="5076"/>
          </w:tcPr>
          <w:p>
            <w:pPr>
              <w:jc w:val="left"/>
            </w:pPr>
            <w:r>
              <w:rPr/>
              <w:t>根据供应商提供本项目的个性化（增值）服务方案： 1、个性化（增值）服务方案完善、提供的增值服务多且可行性高，得5分； 2、个性化（增值）服务方案较完善、提供的增值服务较多且可行性较高，得4分； 3、个性化（增值）服务方案欠缺完善、提供的增值服务少且可行性低，得3分； 4、未提供的不得分。</w:t>
            </w:r>
          </w:p>
        </w:tc>
      </w:tr>
      <w:tr>
        <w:tc>
          <w:tcPr>
            <w:tcW w:type="dxa" w:w="922"/>
            <w:gridSpan w:val="2"/>
            <w:vMerge w:val="restart"/>
          </w:tcPr>
          <w:p>
            <w:pPr>
              <w:jc w:val="center"/>
            </w:pPr>
            <w:r>
              <w:rPr/>
              <w:t>商务部分</w:t>
            </w:r>
          </w:p>
        </w:tc>
        <w:tc>
          <w:tcPr>
            <w:tcW w:type="dxa" w:w="2307"/>
          </w:tcPr>
          <w:p>
            <w:pPr>
              <w:jc w:val="left"/>
            </w:pPr>
            <w:r>
              <w:rPr/>
              <w:t>同类业绩 (20.0分)</w:t>
            </w:r>
          </w:p>
        </w:tc>
        <w:tc>
          <w:tcPr>
            <w:tcW w:type="dxa" w:w="5076"/>
          </w:tcPr>
          <w:p>
            <w:pPr>
              <w:jc w:val="left"/>
            </w:pPr>
            <w:r>
              <w:rPr/>
              <w:t>供应商提供自2020年1月1日至今（以合同签订时间为准），以供应商名义独立完成的同类项目业绩（包括但不限于导医导诊服务、助护劳务服务、文员外包等），每提供一个有效业绩得2分，最高得20分。 注：须提供合同关键页复印件（要点包括项目名称、签约时间、项目主要内容和双方盖章页）并加盖供应商公章，不提供不得分。</w:t>
            </w:r>
          </w:p>
        </w:tc>
      </w:tr>
      <w:tr>
        <w:tc>
          <w:tcPr>
            <w:tcW w:type="dxa" w:w="922"/>
            <w:gridSpan w:val="2"/>
            <w:vMerge/>
          </w:tcPr>
          <w:p/>
        </w:tc>
        <w:tc>
          <w:tcPr>
            <w:tcW w:type="dxa" w:w="2307"/>
          </w:tcPr>
          <w:p>
            <w:pPr>
              <w:jc w:val="left"/>
            </w:pPr>
            <w:r>
              <w:rPr/>
              <w:t>客户满意度评价 (10.0分)</w:t>
            </w:r>
          </w:p>
        </w:tc>
        <w:tc>
          <w:tcPr>
            <w:tcW w:type="dxa" w:w="5076"/>
          </w:tcPr>
          <w:p>
            <w:pPr>
              <w:jc w:val="left"/>
            </w:pPr>
            <w:r>
              <w:rPr/>
              <w:t>以上业绩获得客户授予的客户评价为好评（结果好评或优秀或相同评价）的，每提供一份得1 分，最高10分。 注：供应商须提供业主评价意见复印件作并包含业主盖章为证明材料，证明材料不提供不得分。</w:t>
            </w:r>
          </w:p>
        </w:tc>
      </w:tr>
      <w:tr>
        <w:tc>
          <w:tcPr>
            <w:tcW w:type="dxa" w:w="922"/>
            <w:gridSpan w:val="2"/>
            <w:vMerge/>
          </w:tcPr>
          <w:p/>
        </w:tc>
        <w:tc>
          <w:tcPr>
            <w:tcW w:type="dxa" w:w="2307"/>
          </w:tcPr>
          <w:p>
            <w:pPr>
              <w:jc w:val="left"/>
            </w:pPr>
            <w:r>
              <w:rPr/>
              <w:t>体系认证 (8.0分)</w:t>
            </w:r>
          </w:p>
        </w:tc>
        <w:tc>
          <w:tcPr>
            <w:tcW w:type="dxa" w:w="5076"/>
          </w:tcPr>
          <w:p>
            <w:pPr>
              <w:jc w:val="left"/>
            </w:pPr>
            <w:r>
              <w:rPr/>
              <w:t>供应商具有有效的证书： 1.具有质量管理体系认证证书，得2分； 2.具有职业健康安全管理体系认证证书，得2分； 3.具有环境管理体系认证证书，得2分；4.具有社会责任管理体系认证证书，得2分，本项最高8分。  注：须提供证书的复印件并加盖供应商公章，以及提供中国国家认证认可监督管理委员会认证信息查询系统“http://cx.cnca.cn/”的网站查询结果打印页，证书状态应处于“有效”状态，否则不得分（打印页加盖供应商公章），不提供不得分。</w:t>
            </w:r>
          </w:p>
        </w:tc>
      </w:tr>
      <w:tr>
        <w:tc>
          <w:tcPr>
            <w:tcW w:type="dxa" w:w="922"/>
            <w:gridSpan w:val="2"/>
            <w:vMerge/>
          </w:tcPr>
          <w:p/>
        </w:tc>
        <w:tc>
          <w:tcPr>
            <w:tcW w:type="dxa" w:w="2307"/>
          </w:tcPr>
          <w:p>
            <w:pPr>
              <w:jc w:val="left"/>
            </w:pPr>
            <w:r>
              <w:rPr/>
              <w:t>投入人员 (7.0分)</w:t>
            </w:r>
          </w:p>
        </w:tc>
        <w:tc>
          <w:tcPr>
            <w:tcW w:type="dxa" w:w="5076"/>
          </w:tcPr>
          <w:p>
            <w:pPr>
              <w:jc w:val="left"/>
            </w:pPr>
            <w:r>
              <w:rPr/>
              <w:t>拟投入本项目的人员技术水平进行评审： 服务人员每提供一名具有一份临床医学或护理或药学等医学相关专业毕业证书的，得0.5分，得7分。 注：本项最高得7分。同一人具有多种证书的只计算一次得分；需提供以上人员的证书以及投标单位为其缴纳的近半年内任一月份社保证或聘用合同或协议等扫描件作为证明材料，无提供或资料不全者不得分。</w:t>
            </w:r>
          </w:p>
        </w:tc>
      </w:tr>
      <w:tr>
        <w:tc>
          <w:tcPr>
            <w:tcW w:type="dxa" w:w="922"/>
            <w:gridSpan w:val="2"/>
          </w:tcPr>
          <w:p>
            <w:pPr>
              <w:jc w:val="center"/>
            </w:pPr>
            <w:r>
              <w:rPr/>
              <w:t>投标报价</w:t>
            </w:r>
          </w:p>
        </w:tc>
        <w:tc>
          <w:tcPr>
            <w:tcW w:type="dxa" w:w="2307"/>
          </w:tcPr>
          <w:p>
            <w:pPr>
              <w:jc w:val="left"/>
            </w:pPr>
            <w:r>
              <w:rPr/>
              <w:t>投标报价得分 (15.0分)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6.汇总、排序</w:t>
      </w:r>
    </w:p>
    <w:p>
      <w:pPr>
        <w:ind w:firstLine="480"/>
      </w:pPr>
    </w:p>
    <w:p/>
    <w:p>
      <w:r>
        <w:rPr/>
        <w:t>采购包1：</w:t>
      </w:r>
    </w:p>
    <w:p/>
    <w:p>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
    <w:p>
      <w:pPr>
        <w:jc w:val="both"/>
      </w:pPr>
    </w:p>
    <w:p>
      <w:pPr>
        <w:jc w:val="both"/>
      </w:pPr>
    </w:p>
    <w:p>
      <w:pPr>
        <w:jc w:val="both"/>
      </w:pPr>
    </w:p>
    <w:p>
      <w:pPr>
        <w:jc w:val="center"/>
      </w:pPr>
      <w:r>
        <w:rPr>
          <w:b/>
          <w:sz w:val="21"/>
        </w:rPr>
        <w:t xml:space="preserve"> </w:t>
      </w:r>
    </w:p>
    <w:p>
      <w:pPr>
        <w:jc w:val="center"/>
      </w:pPr>
      <w:r>
        <w:rPr>
          <w:b/>
          <w:sz w:val="21"/>
        </w:rPr>
        <w:t xml:space="preserve"> </w:t>
      </w:r>
    </w:p>
    <w:p>
      <w:pPr>
        <w:jc w:val="center"/>
      </w:pPr>
      <w:r>
        <w:rPr/>
        <w:t xml:space="preserve"> </w:t>
      </w:r>
    </w:p>
    <w:p>
      <w:pPr>
        <w:jc w:val="center"/>
      </w:pPr>
    </w:p>
    <w:p>
      <w:pPr>
        <w:jc w:val="center"/>
      </w:pPr>
      <w:r>
        <w:rPr>
          <w:sz w:val="68"/>
        </w:rPr>
        <w:t>佛山市政府采购项目</w:t>
      </w:r>
    </w:p>
    <w:p>
      <w:pPr>
        <w:jc w:val="center"/>
      </w:pPr>
      <w:r>
        <w:rPr>
          <w:sz w:val="68"/>
        </w:rPr>
        <w:t>项目合同书</w:t>
      </w:r>
    </w:p>
    <w:p>
      <w:pPr>
        <w:jc w:val="center"/>
      </w:pPr>
    </w:p>
    <w:p>
      <w:pPr>
        <w:jc w:val="center"/>
      </w:pPr>
    </w:p>
    <w:p>
      <w:pPr>
        <w:jc w:val="both"/>
      </w:pPr>
    </w:p>
    <w:p>
      <w:pPr>
        <w:jc w:val="both"/>
      </w:pPr>
    </w:p>
    <w:p>
      <w:pPr>
        <w:jc w:val="center"/>
      </w:pPr>
    </w:p>
    <w:p>
      <w:pPr>
        <w:ind w:firstLine="2409"/>
        <w:jc w:val="both"/>
      </w:pPr>
      <w:r>
        <w:rPr/>
        <w:t xml:space="preserve"> </w:t>
      </w:r>
    </w:p>
    <w:p>
      <w:pPr>
        <w:ind w:firstLine="2409"/>
        <w:jc w:val="both"/>
      </w:pPr>
      <w:r>
        <w:rPr/>
        <w:t xml:space="preserve"> </w:t>
      </w:r>
    </w:p>
    <w:p>
      <w:pPr>
        <w:ind w:firstLine="2409"/>
        <w:jc w:val="both"/>
      </w:pPr>
      <w:r>
        <w:rPr/>
        <w:t xml:space="preserve"> </w:t>
      </w:r>
    </w:p>
    <w:p>
      <w:pPr>
        <w:ind w:firstLine="2409"/>
        <w:jc w:val="both"/>
      </w:pPr>
      <w:r>
        <w:rPr>
          <w:b/>
          <w:sz w:val="24"/>
        </w:rPr>
        <w:t>项目编号：</w:t>
      </w:r>
      <w:r>
        <w:rPr>
          <w:b/>
          <w:sz w:val="24"/>
          <w:u w:val="single"/>
        </w:rPr>
        <w:t>LSZFCG2023031</w:t>
      </w:r>
    </w:p>
    <w:p>
      <w:pPr>
        <w:ind w:firstLine="2409"/>
        <w:jc w:val="both"/>
      </w:pPr>
      <w:r>
        <w:rPr>
          <w:b/>
          <w:sz w:val="24"/>
        </w:rPr>
        <w:t>项目名称：</w:t>
      </w:r>
      <w:r>
        <w:rPr>
          <w:b/>
          <w:sz w:val="24"/>
          <w:u w:val="single"/>
        </w:rPr>
        <w:t>健促员服务外包项目</w:t>
      </w:r>
    </w:p>
    <w:p>
      <w:pPr>
        <w:ind w:firstLine="2409"/>
        <w:jc w:val="both"/>
      </w:pPr>
      <w:r>
        <w:rPr>
          <w:sz w:val="21"/>
        </w:rPr>
        <w:t xml:space="preserve"> </w:t>
      </w:r>
    </w:p>
    <w:p>
      <w:pPr>
        <w:ind w:firstLine="2409"/>
        <w:jc w:val="both"/>
      </w:pPr>
      <w:r>
        <w:rPr>
          <w:sz w:val="21"/>
        </w:rPr>
        <w:t xml:space="preserve"> </w:t>
      </w:r>
    </w:p>
    <w:p>
      <w:pPr>
        <w:ind w:firstLine="2409"/>
        <w:jc w:val="both"/>
      </w:pPr>
      <w:r>
        <w:rPr>
          <w:sz w:val="21"/>
        </w:rPr>
        <w:t xml:space="preserve"> </w:t>
      </w:r>
    </w:p>
    <w:p>
      <w:pPr>
        <w:jc w:val="center"/>
      </w:pPr>
    </w:p>
    <w:p>
      <w:pPr>
        <w:jc w:val="center"/>
      </w:pPr>
    </w:p>
    <w:p>
      <w:pPr>
        <w:jc w:val="center"/>
      </w:pPr>
    </w:p>
    <w:tbl>
      <w:tblPr>
        <w:tblW w:w="0" w:type="auto"/>
        <w:tblBorders>
          <w:top w:val="none" w:color="000000" w:sz="4"/>
          <w:left w:val="none" w:color="000000" w:sz="4"/>
          <w:bottom w:val="none" w:color="000000" w:sz="4"/>
          <w:right w:val="none" w:color="000000" w:sz="4"/>
          <w:insideH w:val="none"/>
          <w:insideV w:val="none"/>
        </w:tblBorders>
      </w:tblPr>
      <w:tblGrid>
        <w:gridCol w:w="2368"/>
        <w:gridCol w:w="5922"/>
      </w:tblGrid>
      <w:tr>
        <w:tc>
          <w:tcPr>
            <w:tcW w:type="dxa" w:w="2368"/>
            <w:tcBorders>
              <w:top w:val="none" w:color="000000" w:sz="4"/>
              <w:left w:val="none" w:color="000000" w:sz="4"/>
              <w:bottom w:val="none" w:color="000000" w:sz="4"/>
              <w:right w:val="none" w:color="000000" w:sz="4"/>
            </w:tcBorders>
            <w:vAlign w:val="top"/>
          </w:tcPr>
          <w:p>
            <w:pPr>
              <w:jc w:val="center"/>
            </w:pPr>
            <w:r>
              <w:rPr>
                <w:sz w:val="28"/>
              </w:rPr>
              <w:t>甲</w:t>
            </w:r>
            <w:r>
              <w:rPr>
                <w:sz w:val="28"/>
              </w:rPr>
              <w:t xml:space="preserve"> </w:t>
            </w:r>
            <w:r>
              <w:rPr>
                <w:sz w:val="28"/>
              </w:rPr>
              <w:t>方：</w:t>
            </w:r>
          </w:p>
        </w:tc>
        <w:tc>
          <w:tcPr>
            <w:tcW w:type="dxa" w:w="5922"/>
            <w:tcBorders>
              <w:top w:val="none" w:color="000000" w:sz="4"/>
              <w:left w:val="none" w:color="000000" w:sz="4"/>
              <w:bottom w:val="none" w:color="000000" w:sz="4"/>
              <w:right w:val="none" w:color="000000" w:sz="4"/>
            </w:tcBorders>
            <w:vAlign w:val="top"/>
          </w:tcPr>
          <w:p>
            <w:pPr>
              <w:jc w:val="left"/>
            </w:pPr>
            <w:r>
              <w:rPr>
                <w:sz w:val="28"/>
                <w:u w:val="single"/>
              </w:rPr>
              <w:t>佛山市南海区里水镇社区卫生服务中心</w:t>
            </w:r>
          </w:p>
        </w:tc>
      </w:tr>
      <w:tr>
        <w:tc>
          <w:tcPr>
            <w:tcW w:type="dxa" w:w="2368"/>
            <w:tcBorders>
              <w:top w:val="none" w:color="000000" w:sz="4"/>
              <w:left w:val="none" w:color="000000" w:sz="4"/>
              <w:bottom w:val="none" w:color="000000" w:sz="4"/>
              <w:right w:val="none" w:color="000000" w:sz="4"/>
            </w:tcBorders>
            <w:vAlign w:val="top"/>
          </w:tcPr>
          <w:p>
            <w:pPr>
              <w:jc w:val="center"/>
            </w:pPr>
            <w:r>
              <w:rPr>
                <w:sz w:val="28"/>
              </w:rPr>
              <w:t>乙</w:t>
            </w:r>
            <w:r>
              <w:rPr>
                <w:sz w:val="28"/>
              </w:rPr>
              <w:t xml:space="preserve"> </w:t>
            </w:r>
            <w:r>
              <w:rPr>
                <w:sz w:val="28"/>
              </w:rPr>
              <w:t>方：</w:t>
            </w:r>
          </w:p>
        </w:tc>
        <w:tc>
          <w:tcPr>
            <w:tcW w:type="dxa" w:w="5922"/>
            <w:tcBorders>
              <w:top w:val="none" w:color="000000" w:sz="4"/>
              <w:left w:val="none" w:color="000000" w:sz="4"/>
              <w:bottom w:val="none" w:color="000000" w:sz="4"/>
              <w:right w:val="none" w:color="000000" w:sz="4"/>
            </w:tcBorders>
            <w:vAlign w:val="top"/>
          </w:tcPr>
          <w:p>
            <w:pPr>
              <w:jc w:val="left"/>
            </w:pPr>
            <w:r>
              <w:rPr>
                <w:sz w:val="28"/>
                <w:u w:val="single"/>
              </w:rPr>
              <w:t xml:space="preserve">  </w:t>
            </w:r>
            <w:r>
              <w:rPr>
                <w:sz w:val="28"/>
                <w:u w:val="single"/>
              </w:rPr>
              <w:t>（中标</w:t>
            </w:r>
            <w:r>
              <w:rPr>
                <w:sz w:val="28"/>
                <w:u w:val="single"/>
              </w:rPr>
              <w:t>/</w:t>
            </w:r>
            <w:r>
              <w:rPr>
                <w:sz w:val="28"/>
                <w:u w:val="single"/>
              </w:rPr>
              <w:t xml:space="preserve">成交供应商名称）      </w:t>
            </w:r>
          </w:p>
        </w:tc>
      </w:tr>
      <w:tr>
        <w:tc>
          <w:tcPr>
            <w:tcW w:type="dxa" w:w="2368"/>
            <w:tcBorders>
              <w:top w:val="none" w:color="000000" w:sz="4"/>
              <w:left w:val="none" w:color="000000" w:sz="4"/>
              <w:bottom w:val="none" w:color="000000" w:sz="4"/>
              <w:right w:val="none" w:color="000000" w:sz="4"/>
            </w:tcBorders>
            <w:vAlign w:val="top"/>
          </w:tcPr>
          <w:p>
            <w:pPr>
              <w:jc w:val="center"/>
            </w:pPr>
            <w:r>
              <w:rPr>
                <w:sz w:val="28"/>
              </w:rPr>
              <w:t>签订日期：</w:t>
            </w:r>
          </w:p>
        </w:tc>
        <w:tc>
          <w:tcPr>
            <w:tcW w:type="dxa" w:w="5922"/>
            <w:tcBorders>
              <w:top w:val="none" w:color="000000" w:sz="4"/>
              <w:left w:val="none" w:color="000000" w:sz="4"/>
              <w:bottom w:val="none" w:color="000000" w:sz="4"/>
              <w:right w:val="none" w:color="000000" w:sz="4"/>
            </w:tcBorders>
            <w:vAlign w:val="top"/>
          </w:tcPr>
          <w:p>
            <w:pPr>
              <w:jc w:val="left"/>
            </w:pPr>
            <w:r>
              <w:rPr>
                <w:sz w:val="21"/>
                <w:u w:val="single"/>
              </w:rPr>
              <w:t xml:space="preserve">       </w:t>
            </w:r>
            <w:r>
              <w:rPr>
                <w:sz w:val="28"/>
                <w:u w:val="single"/>
              </w:rPr>
              <w:t>年</w:t>
            </w:r>
            <w:r>
              <w:rPr>
                <w:sz w:val="21"/>
                <w:u w:val="single"/>
              </w:rPr>
              <w:t xml:space="preserve">   </w:t>
            </w:r>
            <w:r>
              <w:rPr>
                <w:sz w:val="28"/>
                <w:u w:val="single"/>
              </w:rPr>
              <w:t>月</w:t>
            </w:r>
            <w:r>
              <w:rPr>
                <w:sz w:val="21"/>
                <w:u w:val="single"/>
              </w:rPr>
              <w:t xml:space="preserve">    </w:t>
            </w:r>
            <w:r>
              <w:rPr>
                <w:sz w:val="28"/>
                <w:u w:val="single"/>
              </w:rPr>
              <w:t>日</w:t>
            </w:r>
            <w:r>
              <w:rPr>
                <w:sz w:val="28"/>
                <w:u w:val="single"/>
              </w:rPr>
              <w:t xml:space="preserve">     </w:t>
            </w:r>
          </w:p>
        </w:tc>
      </w:tr>
    </w:tbl>
    <w:p>
      <w:pPr>
        <w:jc w:val="center"/>
      </w:pPr>
    </w:p>
    <w:p>
      <w:pPr>
        <w:jc w:val="center"/>
      </w:pPr>
    </w:p>
    <w:p>
      <w:pPr>
        <w:jc w:val="center"/>
      </w:pPr>
    </w:p>
    <w:p>
      <w:pPr>
        <w:jc w:val="center"/>
      </w:pPr>
    </w:p>
    <w:p>
      <w:pPr>
        <w:ind w:firstLine="630"/>
        <w:jc w:val="left"/>
      </w:pPr>
      <w:r>
        <w:rPr>
          <w:i/>
          <w:sz w:val="21"/>
        </w:rPr>
        <w:t>注：本合同仅为合同的参考文本，可根据项目的具体要求进行修订。</w:t>
      </w:r>
    </w:p>
    <w:p>
      <w:pPr>
        <w:jc w:val="center"/>
      </w:pPr>
      <w:r>
        <w:rPr>
          <w:sz w:val="21"/>
        </w:rPr>
        <w:t xml:space="preserve"> </w:t>
      </w:r>
    </w:p>
    <w:p>
      <w:pPr>
        <w:jc w:val="left"/>
      </w:pPr>
    </w:p>
    <w:p>
      <w:pPr>
        <w:jc w:val="left"/>
      </w:pPr>
    </w:p>
    <w:p>
      <w:pPr>
        <w:jc w:val="both"/>
      </w:pPr>
    </w:p>
    <w:p>
      <w:pPr>
        <w:jc w:val="both"/>
      </w:pPr>
    </w:p>
    <w:p>
      <w:pPr>
        <w:jc w:val="both"/>
      </w:pPr>
      <w:r>
        <w:rPr>
          <w:sz w:val="21"/>
        </w:rPr>
        <w:t xml:space="preserve"> </w:t>
      </w:r>
    </w:p>
    <w:p>
      <w:pPr>
        <w:jc w:val="both"/>
      </w:pPr>
      <w:r>
        <w:rPr/>
        <w:t xml:space="preserve"> </w:t>
      </w:r>
    </w:p>
    <w:p>
      <w:pPr>
        <w:jc w:val="center"/>
      </w:pPr>
      <w:r>
        <w:rPr>
          <w:b/>
          <w:sz w:val="44"/>
        </w:rPr>
        <w:t>佛山市政府采购项目合同书</w:t>
      </w:r>
    </w:p>
    <w:p>
      <w:pPr>
        <w:jc w:val="both"/>
      </w:pPr>
    </w:p>
    <w:tbl>
      <w:tblPr>
        <w:tblW w:w="0" w:type="auto"/>
        <w:tblBorders>
          <w:top w:val="none" w:color="000000" w:sz="4"/>
          <w:left w:val="none" w:color="000000" w:sz="4"/>
          <w:bottom w:val="none" w:color="000000" w:sz="4"/>
          <w:right w:val="none" w:color="000000" w:sz="4"/>
          <w:insideH w:val="none"/>
          <w:insideV w:val="none"/>
        </w:tblBorders>
      </w:tblPr>
      <w:tblGrid>
        <w:gridCol w:w="1798"/>
        <w:gridCol w:w="6492"/>
      </w:tblGrid>
      <w:tr>
        <w:tc>
          <w:tcPr>
            <w:tcW w:type="dxa" w:w="1798"/>
            <w:tcBorders>
              <w:top w:val="none" w:color="000000" w:sz="4"/>
              <w:left w:val="none" w:color="000000" w:sz="4"/>
              <w:bottom w:val="none" w:color="000000" w:sz="4"/>
              <w:right w:val="none" w:color="000000" w:sz="4"/>
            </w:tcBorders>
            <w:vAlign w:val="top"/>
          </w:tcPr>
          <w:p>
            <w:pPr>
              <w:jc w:val="both"/>
            </w:pPr>
            <w:r>
              <w:rPr>
                <w:b/>
                <w:sz w:val="24"/>
              </w:rPr>
              <w:t>项目名称</w:t>
            </w:r>
            <w:r>
              <w:rPr>
                <w:b/>
                <w:sz w:val="21"/>
              </w:rPr>
              <w:t>：</w:t>
            </w:r>
          </w:p>
        </w:tc>
        <w:tc>
          <w:tcPr>
            <w:tcW w:type="dxa" w:w="6492"/>
            <w:tcBorders>
              <w:top w:val="none" w:color="000000" w:sz="4"/>
              <w:left w:val="none" w:color="000000" w:sz="4"/>
              <w:bottom w:val="none" w:color="000000" w:sz="4"/>
              <w:right w:val="none" w:color="000000" w:sz="4"/>
            </w:tcBorders>
            <w:vAlign w:val="top"/>
          </w:tcPr>
          <w:p>
            <w:pPr>
              <w:jc w:val="left"/>
            </w:pPr>
            <w:r>
              <w:rPr>
                <w:sz w:val="24"/>
                <w:u w:val="single"/>
              </w:rPr>
              <w:t>健促员服务外包项目</w:t>
            </w:r>
          </w:p>
        </w:tc>
      </w:tr>
      <w:tr>
        <w:tc>
          <w:tcPr>
            <w:tcW w:type="dxa" w:w="1798"/>
            <w:tcBorders>
              <w:top w:val="none" w:color="000000" w:sz="4"/>
              <w:left w:val="none" w:color="000000" w:sz="4"/>
              <w:bottom w:val="none" w:color="000000" w:sz="4"/>
              <w:right w:val="none" w:color="000000" w:sz="4"/>
            </w:tcBorders>
            <w:vAlign w:val="top"/>
          </w:tcPr>
          <w:p>
            <w:pPr>
              <w:jc w:val="both"/>
            </w:pPr>
            <w:r>
              <w:rPr>
                <w:b/>
                <w:sz w:val="24"/>
              </w:rPr>
              <w:t>项目编号：</w:t>
            </w:r>
          </w:p>
        </w:tc>
        <w:tc>
          <w:tcPr>
            <w:tcW w:type="dxa" w:w="6492"/>
            <w:tcBorders>
              <w:top w:val="none" w:color="000000" w:sz="4"/>
              <w:left w:val="none" w:color="000000" w:sz="4"/>
              <w:bottom w:val="none" w:color="000000" w:sz="4"/>
              <w:right w:val="none" w:color="000000" w:sz="4"/>
            </w:tcBorders>
            <w:vAlign w:val="top"/>
          </w:tcPr>
          <w:p>
            <w:pPr>
              <w:jc w:val="both"/>
            </w:pPr>
            <w:r>
              <w:rPr>
                <w:sz w:val="24"/>
                <w:u w:val="single"/>
              </w:rPr>
              <w:t>LSZFCG2023031</w:t>
            </w:r>
          </w:p>
        </w:tc>
      </w:tr>
      <w:tr>
        <w:tc>
          <w:tcPr>
            <w:tcW w:type="dxa" w:w="1798"/>
            <w:tcBorders>
              <w:top w:val="none" w:color="000000" w:sz="4"/>
              <w:left w:val="none" w:color="000000" w:sz="4"/>
              <w:bottom w:val="none" w:color="000000" w:sz="4"/>
              <w:right w:val="none" w:color="000000" w:sz="4"/>
            </w:tcBorders>
            <w:vAlign w:val="top"/>
          </w:tcPr>
          <w:p>
            <w:pPr>
              <w:jc w:val="both"/>
            </w:pPr>
            <w:r>
              <w:rPr>
                <w:b/>
                <w:sz w:val="24"/>
              </w:rPr>
              <w:t>甲</w:t>
            </w:r>
            <w:r>
              <w:rPr>
                <w:b/>
                <w:sz w:val="21"/>
              </w:rPr>
              <w:t xml:space="preserve">    </w:t>
            </w:r>
            <w:r>
              <w:rPr>
                <w:b/>
                <w:sz w:val="24"/>
              </w:rPr>
              <w:t>方：</w:t>
            </w:r>
          </w:p>
        </w:tc>
        <w:tc>
          <w:tcPr>
            <w:tcW w:type="dxa" w:w="6492"/>
            <w:tcBorders>
              <w:top w:val="none" w:color="000000" w:sz="4"/>
              <w:left w:val="none" w:color="000000" w:sz="4"/>
              <w:bottom w:val="none" w:color="000000" w:sz="4"/>
              <w:right w:val="none" w:color="000000" w:sz="4"/>
            </w:tcBorders>
            <w:vAlign w:val="top"/>
          </w:tcPr>
          <w:p>
            <w:pPr>
              <w:jc w:val="both"/>
            </w:pPr>
            <w:r>
              <w:rPr>
                <w:sz w:val="24"/>
                <w:u w:val="single"/>
              </w:rPr>
              <w:t>佛山市南海区里水镇社区卫生服务中心</w:t>
            </w:r>
          </w:p>
        </w:tc>
      </w:tr>
      <w:tr>
        <w:tc>
          <w:tcPr>
            <w:tcW w:type="dxa" w:w="1798"/>
            <w:tcBorders>
              <w:top w:val="none" w:color="000000" w:sz="4"/>
              <w:left w:val="none" w:color="000000" w:sz="4"/>
              <w:bottom w:val="none" w:color="000000" w:sz="4"/>
              <w:right w:val="none" w:color="000000" w:sz="4"/>
            </w:tcBorders>
            <w:vAlign w:val="top"/>
          </w:tcPr>
          <w:p>
            <w:pPr>
              <w:jc w:val="both"/>
            </w:pPr>
            <w:r>
              <w:rPr>
                <w:b/>
                <w:sz w:val="24"/>
              </w:rPr>
              <w:t>乙</w:t>
            </w:r>
            <w:r>
              <w:rPr>
                <w:b/>
                <w:sz w:val="24"/>
              </w:rPr>
              <w:t xml:space="preserve"> </w:t>
            </w:r>
            <w:r>
              <w:rPr>
                <w:b/>
                <w:sz w:val="24"/>
              </w:rPr>
              <w:t>方：</w:t>
            </w:r>
          </w:p>
        </w:tc>
        <w:tc>
          <w:tcPr>
            <w:tcW w:type="dxa" w:w="6492"/>
            <w:tcBorders>
              <w:top w:val="none" w:color="000000" w:sz="4"/>
              <w:left w:val="none" w:color="000000" w:sz="4"/>
              <w:bottom w:val="none" w:color="000000" w:sz="4"/>
              <w:right w:val="none" w:color="000000" w:sz="4"/>
            </w:tcBorders>
            <w:vAlign w:val="top"/>
          </w:tcPr>
          <w:p>
            <w:pPr>
              <w:jc w:val="both"/>
            </w:pPr>
            <w:r>
              <w:rPr>
                <w:sz w:val="24"/>
                <w:u w:val="single"/>
              </w:rPr>
              <w:t>（中标</w:t>
            </w:r>
            <w:r>
              <w:rPr>
                <w:sz w:val="24"/>
                <w:u w:val="single"/>
              </w:rPr>
              <w:t>/</w:t>
            </w:r>
            <w:r>
              <w:rPr>
                <w:sz w:val="24"/>
                <w:u w:val="single"/>
              </w:rPr>
              <w:t xml:space="preserve">成交供应商）                                 </w:t>
            </w:r>
          </w:p>
        </w:tc>
      </w:tr>
      <w:tr>
        <w:tc>
          <w:tcPr>
            <w:tcW w:type="dxa" w:w="1798"/>
            <w:tcBorders>
              <w:top w:val="none" w:color="000000" w:sz="4"/>
              <w:left w:val="none" w:color="000000" w:sz="4"/>
              <w:bottom w:val="none" w:color="000000" w:sz="4"/>
              <w:right w:val="none" w:color="000000" w:sz="4"/>
            </w:tcBorders>
            <w:vAlign w:val="top"/>
          </w:tcPr>
          <w:p>
            <w:pPr>
              <w:jc w:val="both"/>
            </w:pPr>
            <w:r>
              <w:rPr>
                <w:b/>
                <w:sz w:val="24"/>
              </w:rPr>
              <w:t>合同性质：</w:t>
            </w:r>
          </w:p>
        </w:tc>
        <w:tc>
          <w:tcPr>
            <w:tcW w:type="dxa" w:w="6492"/>
            <w:tcBorders>
              <w:top w:val="none" w:color="000000" w:sz="4"/>
              <w:left w:val="none" w:color="000000" w:sz="4"/>
              <w:bottom w:val="none" w:color="000000" w:sz="4"/>
              <w:right w:val="none" w:color="000000" w:sz="4"/>
            </w:tcBorders>
            <w:vAlign w:val="top"/>
          </w:tcPr>
          <w:p>
            <w:pPr>
              <w:jc w:val="both"/>
            </w:pPr>
            <w:r>
              <w:rPr>
                <w:sz w:val="24"/>
                <w:u w:val="single"/>
              </w:rPr>
              <w:t>本合同为中小企业预留合同</w:t>
            </w:r>
            <w:r>
              <w:rPr>
                <w:b/>
                <w:i/>
                <w:sz w:val="18"/>
                <w:u w:val="single"/>
              </w:rPr>
              <w:t>（非专门面向中小企业采购的请删除此项）</w:t>
            </w:r>
          </w:p>
        </w:tc>
      </w:tr>
    </w:tbl>
    <w:p>
      <w:pPr>
        <w:jc w:val="both"/>
      </w:pPr>
    </w:p>
    <w:p>
      <w:pPr>
        <w:ind w:firstLine="420"/>
        <w:jc w:val="both"/>
      </w:pPr>
      <w:r>
        <w:rPr>
          <w:sz w:val="24"/>
        </w:rPr>
        <w:t>根据《中华人民共和国政府采购法》《中华人民共和国民法典》和本项目采购文件的要求，经双方协商，本着平等互利和诚实信用的原则，一致同意签订本合同如下。</w:t>
      </w:r>
    </w:p>
    <w:p>
      <w:pPr>
        <w:jc w:val="both"/>
      </w:pPr>
      <w:r>
        <w:rPr>
          <w:b/>
          <w:sz w:val="24"/>
        </w:rPr>
        <w:t>一、项目主要内容及实现功能目标：</w:t>
      </w:r>
    </w:p>
    <w:p>
      <w:pPr>
        <w:ind w:firstLine="420"/>
        <w:jc w:val="both"/>
      </w:pPr>
      <w:r>
        <w:rPr>
          <w:sz w:val="24"/>
        </w:rPr>
        <w:t>（按照采购文件和投标</w:t>
      </w:r>
      <w:r>
        <w:rPr>
          <w:sz w:val="24"/>
        </w:rPr>
        <w:t>/</w:t>
      </w:r>
      <w:r>
        <w:rPr>
          <w:sz w:val="24"/>
        </w:rPr>
        <w:t>响应文件执行）</w:t>
      </w:r>
    </w:p>
    <w:p>
      <w:pPr>
        <w:jc w:val="both"/>
      </w:pPr>
      <w:r>
        <w:rPr>
          <w:b/>
          <w:sz w:val="24"/>
        </w:rPr>
        <w:t>二、产品及服务供应清单：</w:t>
      </w:r>
      <w:r>
        <w:rPr>
          <w:sz w:val="24"/>
        </w:rPr>
        <w:t>见附件一《报价清单明细表》。</w:t>
      </w:r>
    </w:p>
    <w:p>
      <w:pPr>
        <w:jc w:val="both"/>
      </w:pPr>
      <w:r>
        <w:rPr>
          <w:b/>
          <w:sz w:val="24"/>
        </w:rPr>
        <w:t>三、基本合同条款一览表</w:t>
      </w:r>
    </w:p>
    <w:tbl>
      <w:tblPr>
        <w:tblW w:w="0" w:type="auto"/>
        <w:tblBorders>
          <w:top w:val="none" w:color="000000" w:sz="4"/>
          <w:left w:val="none" w:color="000000" w:sz="4"/>
          <w:bottom w:val="none" w:color="000000" w:sz="4"/>
          <w:right w:val="none" w:color="000000" w:sz="4"/>
          <w:insideH w:val="none"/>
          <w:insideV w:val="none"/>
        </w:tblBorders>
      </w:tblPr>
      <w:tblGrid>
        <w:gridCol w:w="818"/>
        <w:gridCol w:w="1520"/>
        <w:gridCol w:w="5951"/>
      </w:tblGrid>
      <w:tr>
        <w:tc>
          <w:tcPr>
            <w:tcW w:type="dxa" w:w="818"/>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520"/>
            <w:tcBorders>
              <w:top w:val="single" w:color="000000" w:sz="4"/>
              <w:left w:val="none" w:color="000000" w:sz="4"/>
              <w:bottom w:val="single" w:color="000000" w:sz="4"/>
              <w:right w:val="single" w:color="000000" w:sz="4"/>
            </w:tcBorders>
            <w:vAlign w:val="top"/>
          </w:tcPr>
          <w:p>
            <w:pPr>
              <w:jc w:val="center"/>
            </w:pPr>
            <w:r>
              <w:rPr>
                <w:b/>
                <w:sz w:val="21"/>
              </w:rPr>
              <w:t>合同条款</w:t>
            </w:r>
          </w:p>
        </w:tc>
        <w:tc>
          <w:tcPr>
            <w:tcW w:type="dxa" w:w="5951"/>
            <w:tcBorders>
              <w:top w:val="single" w:color="000000" w:sz="4"/>
              <w:left w:val="none" w:color="000000" w:sz="4"/>
              <w:bottom w:val="single" w:color="000000" w:sz="4"/>
              <w:right w:val="single" w:color="000000" w:sz="4"/>
            </w:tcBorders>
            <w:vAlign w:val="top"/>
          </w:tcPr>
          <w:p>
            <w:pPr>
              <w:jc w:val="center"/>
            </w:pPr>
            <w:r>
              <w:rPr>
                <w:b/>
                <w:sz w:val="21"/>
              </w:rPr>
              <w:t>内容</w:t>
            </w:r>
          </w:p>
        </w:tc>
      </w:tr>
      <w:tr>
        <w:tc>
          <w:tcPr>
            <w:tcW w:type="dxa" w:w="818"/>
            <w:tcBorders>
              <w:top w:val="none" w:color="000000" w:sz="4"/>
              <w:left w:val="single" w:color="000000" w:sz="4"/>
              <w:bottom w:val="single" w:color="000000" w:sz="4"/>
              <w:right w:val="single" w:color="000000" w:sz="4"/>
            </w:tcBorders>
            <w:vAlign w:val="top"/>
          </w:tcPr>
          <w:p>
            <w:pPr>
              <w:jc w:val="center"/>
            </w:pPr>
            <w:r>
              <w:rPr>
                <w:b/>
                <w:sz w:val="21"/>
              </w:rPr>
              <w:t>1.</w:t>
            </w:r>
          </w:p>
        </w:tc>
        <w:tc>
          <w:tcPr>
            <w:tcW w:type="dxa" w:w="1520"/>
            <w:tcBorders>
              <w:top w:val="none" w:color="000000" w:sz="4"/>
              <w:left w:val="none" w:color="000000" w:sz="4"/>
              <w:bottom w:val="single" w:color="000000" w:sz="4"/>
              <w:right w:val="single" w:color="000000" w:sz="4"/>
            </w:tcBorders>
            <w:vAlign w:val="top"/>
          </w:tcPr>
          <w:p>
            <w:pPr>
              <w:jc w:val="center"/>
            </w:pPr>
            <w:r>
              <w:rPr>
                <w:b/>
                <w:sz w:val="21"/>
              </w:rPr>
              <w:t>合同总额</w:t>
            </w:r>
          </w:p>
        </w:tc>
        <w:tc>
          <w:tcPr>
            <w:tcW w:type="dxa" w:w="5951"/>
            <w:tcBorders>
              <w:top w:val="none" w:color="000000" w:sz="4"/>
              <w:left w:val="none" w:color="000000" w:sz="4"/>
              <w:bottom w:val="single" w:color="000000" w:sz="4"/>
              <w:right w:val="single" w:color="000000" w:sz="4"/>
            </w:tcBorders>
            <w:vAlign w:val="top"/>
          </w:tcPr>
          <w:p>
            <w:pPr>
              <w:jc w:val="both"/>
            </w:pPr>
            <w:r>
              <w:rPr>
                <w:sz w:val="21"/>
              </w:rPr>
              <w:t>人民币小写：</w:t>
            </w:r>
            <w:r>
              <w:rPr>
                <w:sz w:val="21"/>
                <w:u w:val="single"/>
              </w:rPr>
              <w:t xml:space="preserve">             </w:t>
            </w:r>
            <w:r>
              <w:rPr>
                <w:sz w:val="21"/>
              </w:rPr>
              <w:t>元；</w:t>
            </w:r>
          </w:p>
          <w:p>
            <w:pPr>
              <w:jc w:val="both"/>
            </w:pPr>
            <w:r>
              <w:rPr>
                <w:sz w:val="21"/>
              </w:rPr>
              <w:t>大写：</w:t>
            </w:r>
            <w:r>
              <w:rPr>
                <w:sz w:val="21"/>
                <w:u w:val="single"/>
              </w:rPr>
              <w:t xml:space="preserve">                          </w:t>
            </w:r>
          </w:p>
        </w:tc>
      </w:tr>
      <w:tr>
        <w:tc>
          <w:tcPr>
            <w:tcW w:type="dxa" w:w="818"/>
            <w:tcBorders>
              <w:top w:val="none" w:color="000000" w:sz="4"/>
              <w:left w:val="single" w:color="000000" w:sz="4"/>
              <w:bottom w:val="single" w:color="000000" w:sz="4"/>
              <w:right w:val="single" w:color="000000" w:sz="4"/>
            </w:tcBorders>
            <w:vAlign w:val="top"/>
          </w:tcPr>
          <w:p>
            <w:pPr>
              <w:jc w:val="center"/>
            </w:pPr>
            <w:r>
              <w:rPr>
                <w:b/>
                <w:sz w:val="21"/>
              </w:rPr>
              <w:t>2.</w:t>
            </w:r>
          </w:p>
        </w:tc>
        <w:tc>
          <w:tcPr>
            <w:tcW w:type="dxa" w:w="1520"/>
            <w:tcBorders>
              <w:top w:val="none" w:color="000000" w:sz="4"/>
              <w:left w:val="none" w:color="000000" w:sz="4"/>
              <w:bottom w:val="single" w:color="000000" w:sz="4"/>
              <w:right w:val="single" w:color="000000" w:sz="4"/>
            </w:tcBorders>
            <w:vAlign w:val="top"/>
          </w:tcPr>
          <w:p>
            <w:pPr>
              <w:jc w:val="center"/>
            </w:pPr>
            <w:r>
              <w:rPr>
                <w:b/>
                <w:sz w:val="21"/>
              </w:rPr>
              <w:t>合同总额内容</w:t>
            </w:r>
          </w:p>
        </w:tc>
        <w:tc>
          <w:tcPr>
            <w:tcW w:type="dxa" w:w="5951"/>
            <w:tcBorders>
              <w:top w:val="none" w:color="000000" w:sz="4"/>
              <w:left w:val="none" w:color="000000" w:sz="4"/>
              <w:bottom w:val="single" w:color="000000" w:sz="4"/>
              <w:right w:val="single" w:color="000000" w:sz="4"/>
            </w:tcBorders>
            <w:vAlign w:val="top"/>
          </w:tcPr>
          <w:p>
            <w:pPr>
              <w:jc w:val="both"/>
            </w:pPr>
            <w:r>
              <w:rPr>
                <w:sz w:val="21"/>
              </w:rPr>
              <w:t>（</w:t>
            </w:r>
            <w:r>
              <w:rPr>
                <w:sz w:val="21"/>
              </w:rPr>
              <w:t>1</w:t>
            </w:r>
            <w:r>
              <w:rPr>
                <w:sz w:val="21"/>
              </w:rPr>
              <w:t>）合同总额包括不限于</w:t>
            </w:r>
            <w:r>
              <w:rPr>
                <w:sz w:val="21"/>
              </w:rPr>
              <w:t>人员经费（工资、津贴补贴、绩效奖、社保、伙食费等）、管理费、税金</w:t>
            </w:r>
            <w:r>
              <w:rPr>
                <w:sz w:val="21"/>
              </w:rPr>
              <w:t>及合同实施过程中的不可预见费用等。</w:t>
            </w:r>
          </w:p>
          <w:p>
            <w:pPr>
              <w:jc w:val="both"/>
            </w:pPr>
            <w:r>
              <w:rPr>
                <w:sz w:val="21"/>
              </w:rPr>
              <w:t>（</w:t>
            </w:r>
            <w:r>
              <w:rPr>
                <w:sz w:val="21"/>
              </w:rPr>
              <w:t>2</w:t>
            </w:r>
            <w:r>
              <w:rPr>
                <w:sz w:val="21"/>
              </w:rPr>
              <w:t>）价格为固定不变价，天数为公历日。</w:t>
            </w:r>
          </w:p>
        </w:tc>
      </w:tr>
      <w:tr>
        <w:tc>
          <w:tcPr>
            <w:tcW w:type="dxa" w:w="818"/>
            <w:tcBorders>
              <w:top w:val="none" w:color="000000" w:sz="4"/>
              <w:left w:val="single" w:color="000000" w:sz="4"/>
              <w:bottom w:val="single" w:color="000000" w:sz="4"/>
              <w:right w:val="single" w:color="000000" w:sz="4"/>
            </w:tcBorders>
            <w:vAlign w:val="top"/>
          </w:tcPr>
          <w:p>
            <w:pPr>
              <w:jc w:val="center"/>
            </w:pPr>
            <w:r>
              <w:rPr>
                <w:b/>
                <w:sz w:val="21"/>
              </w:rPr>
              <w:t>3.</w:t>
            </w:r>
          </w:p>
        </w:tc>
        <w:tc>
          <w:tcPr>
            <w:tcW w:type="dxa" w:w="1520"/>
            <w:tcBorders>
              <w:top w:val="none" w:color="000000" w:sz="4"/>
              <w:left w:val="none" w:color="000000" w:sz="4"/>
              <w:bottom w:val="single" w:color="000000" w:sz="4"/>
              <w:right w:val="single" w:color="000000" w:sz="4"/>
            </w:tcBorders>
            <w:vAlign w:val="top"/>
          </w:tcPr>
          <w:p>
            <w:pPr>
              <w:jc w:val="center"/>
            </w:pPr>
            <w:r>
              <w:rPr>
                <w:b/>
                <w:sz w:val="21"/>
              </w:rPr>
              <w:t>项目服务地点</w:t>
            </w:r>
          </w:p>
        </w:tc>
        <w:tc>
          <w:tcPr>
            <w:tcW w:type="dxa" w:w="5951"/>
            <w:tcBorders>
              <w:top w:val="none" w:color="000000" w:sz="4"/>
              <w:left w:val="none" w:color="000000" w:sz="4"/>
              <w:bottom w:val="single" w:color="000000" w:sz="4"/>
              <w:right w:val="single" w:color="000000" w:sz="4"/>
            </w:tcBorders>
            <w:vAlign w:val="top"/>
          </w:tcPr>
          <w:p>
            <w:pPr>
              <w:jc w:val="left"/>
            </w:pPr>
            <w:r>
              <w:rPr>
                <w:sz w:val="21"/>
              </w:rPr>
              <w:t>甲方（用户）指定地点。详细地址为：</w:t>
            </w:r>
          </w:p>
        </w:tc>
      </w:tr>
      <w:tr>
        <w:tc>
          <w:tcPr>
            <w:tcW w:type="dxa" w:w="818"/>
            <w:tcBorders>
              <w:top w:val="none" w:color="000000" w:sz="4"/>
              <w:left w:val="single" w:color="000000" w:sz="4"/>
              <w:bottom w:val="single" w:color="000000" w:sz="4"/>
              <w:right w:val="single" w:color="000000" w:sz="4"/>
            </w:tcBorders>
            <w:vAlign w:val="top"/>
          </w:tcPr>
          <w:p>
            <w:pPr>
              <w:jc w:val="center"/>
            </w:pPr>
            <w:r>
              <w:rPr>
                <w:b/>
                <w:sz w:val="21"/>
              </w:rPr>
              <w:t>4.</w:t>
            </w:r>
          </w:p>
        </w:tc>
        <w:tc>
          <w:tcPr>
            <w:tcW w:type="dxa" w:w="1520"/>
            <w:tcBorders>
              <w:top w:val="none" w:color="000000" w:sz="4"/>
              <w:left w:val="none" w:color="000000" w:sz="4"/>
              <w:bottom w:val="single" w:color="000000" w:sz="4"/>
              <w:right w:val="single" w:color="000000" w:sz="4"/>
            </w:tcBorders>
            <w:vAlign w:val="top"/>
          </w:tcPr>
          <w:p>
            <w:pPr>
              <w:jc w:val="center"/>
            </w:pPr>
            <w:r>
              <w:rPr>
                <w:b/>
                <w:sz w:val="21"/>
              </w:rPr>
              <w:t>服务期</w:t>
            </w:r>
          </w:p>
        </w:tc>
        <w:tc>
          <w:tcPr>
            <w:tcW w:type="dxa" w:w="5951"/>
            <w:tcBorders>
              <w:top w:val="none" w:color="000000" w:sz="4"/>
              <w:left w:val="none" w:color="000000" w:sz="4"/>
              <w:bottom w:val="single" w:color="000000" w:sz="4"/>
              <w:right w:val="single" w:color="000000" w:sz="4"/>
            </w:tcBorders>
            <w:vAlign w:val="top"/>
          </w:tcPr>
          <w:p>
            <w:pPr>
              <w:jc w:val="left"/>
            </w:pPr>
            <w:r>
              <w:rPr>
                <w:sz w:val="21"/>
              </w:rPr>
              <w:t>合同生效后提供</w:t>
            </w:r>
            <w:r>
              <w:rPr>
                <w:sz w:val="21"/>
              </w:rPr>
              <w:t>___</w:t>
            </w:r>
            <w:r>
              <w:rPr>
                <w:sz w:val="21"/>
              </w:rPr>
              <w:t>年服务，即从</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日至</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w:t>
            </w:r>
          </w:p>
        </w:tc>
      </w:tr>
      <w:tr>
        <w:tc>
          <w:tcPr>
            <w:tcW w:type="dxa" w:w="818"/>
            <w:tcBorders>
              <w:top w:val="none" w:color="000000" w:sz="4"/>
              <w:left w:val="single" w:color="000000" w:sz="4"/>
              <w:bottom w:val="single" w:color="000000" w:sz="4"/>
              <w:right w:val="single" w:color="000000" w:sz="4"/>
            </w:tcBorders>
            <w:vAlign w:val="top"/>
          </w:tcPr>
          <w:p>
            <w:pPr>
              <w:jc w:val="center"/>
            </w:pPr>
            <w:r>
              <w:rPr>
                <w:b/>
                <w:sz w:val="21"/>
              </w:rPr>
              <w:t>5.</w:t>
            </w:r>
          </w:p>
        </w:tc>
        <w:tc>
          <w:tcPr>
            <w:tcW w:type="dxa" w:w="1520"/>
            <w:tcBorders>
              <w:top w:val="none" w:color="000000" w:sz="4"/>
              <w:left w:val="none" w:color="000000" w:sz="4"/>
              <w:bottom w:val="single" w:color="000000" w:sz="4"/>
              <w:right w:val="single" w:color="000000" w:sz="4"/>
            </w:tcBorders>
            <w:vAlign w:val="top"/>
          </w:tcPr>
          <w:p>
            <w:pPr>
              <w:jc w:val="center"/>
            </w:pPr>
            <w:r>
              <w:rPr>
                <w:b/>
                <w:sz w:val="21"/>
              </w:rPr>
              <w:t>合同签订方式及情况</w:t>
            </w:r>
          </w:p>
        </w:tc>
        <w:tc>
          <w:tcPr>
            <w:tcW w:type="dxa" w:w="5951"/>
            <w:tcBorders>
              <w:top w:val="none" w:color="000000" w:sz="4"/>
              <w:left w:val="none" w:color="000000" w:sz="4"/>
              <w:bottom w:val="single" w:color="000000" w:sz="4"/>
              <w:right w:val="single" w:color="000000" w:sz="4"/>
            </w:tcBorders>
            <w:vAlign w:val="top"/>
          </w:tcPr>
          <w:p>
            <w:pPr>
              <w:jc w:val="both"/>
            </w:pPr>
            <w:r>
              <w:rPr>
                <w:sz w:val="21"/>
              </w:rPr>
              <w:t>一次性签订本项目采购合同。</w:t>
            </w:r>
          </w:p>
          <w:p>
            <w:pPr>
              <w:jc w:val="both"/>
            </w:pPr>
          </w:p>
        </w:tc>
      </w:tr>
      <w:tr>
        <w:tc>
          <w:tcPr>
            <w:tcW w:type="dxa" w:w="818"/>
            <w:tcBorders>
              <w:top w:val="none" w:color="000000" w:sz="4"/>
              <w:left w:val="single" w:color="000000" w:sz="4"/>
              <w:bottom w:val="single" w:color="000000" w:sz="4"/>
              <w:right w:val="single" w:color="000000" w:sz="4"/>
            </w:tcBorders>
            <w:vAlign w:val="top"/>
          </w:tcPr>
          <w:p>
            <w:pPr>
              <w:jc w:val="center"/>
            </w:pPr>
            <w:r>
              <w:rPr>
                <w:b/>
                <w:sz w:val="21"/>
              </w:rPr>
              <w:t>6.</w:t>
            </w:r>
          </w:p>
        </w:tc>
        <w:tc>
          <w:tcPr>
            <w:tcW w:type="dxa" w:w="1520"/>
            <w:tcBorders>
              <w:top w:val="none" w:color="000000" w:sz="4"/>
              <w:left w:val="none" w:color="000000" w:sz="4"/>
              <w:bottom w:val="single" w:color="000000" w:sz="4"/>
              <w:right w:val="single" w:color="000000" w:sz="4"/>
            </w:tcBorders>
            <w:vAlign w:val="top"/>
          </w:tcPr>
          <w:p>
            <w:pPr>
              <w:jc w:val="center"/>
            </w:pPr>
            <w:r>
              <w:rPr>
                <w:b/>
                <w:sz w:val="21"/>
              </w:rPr>
              <w:t>付款方式</w:t>
            </w:r>
          </w:p>
        </w:tc>
        <w:tc>
          <w:tcPr>
            <w:tcW w:type="dxa" w:w="5951"/>
            <w:tcBorders>
              <w:top w:val="none" w:color="000000" w:sz="4"/>
              <w:left w:val="none" w:color="000000" w:sz="4"/>
              <w:bottom w:val="single" w:color="000000" w:sz="4"/>
              <w:right w:val="single" w:color="000000" w:sz="4"/>
            </w:tcBorders>
            <w:vAlign w:val="top"/>
          </w:tcPr>
          <w:p>
            <w:pPr>
              <w:jc w:val="both"/>
            </w:pPr>
            <w:r>
              <w:rPr>
                <w:sz w:val="21"/>
              </w:rPr>
              <w:t>1</w:t>
            </w:r>
            <w:r>
              <w:rPr>
                <w:sz w:val="21"/>
              </w:rPr>
              <w:t>期：由</w:t>
            </w:r>
            <w:r>
              <w:rPr>
                <w:sz w:val="21"/>
              </w:rPr>
              <w:t>甲方</w:t>
            </w:r>
            <w:r>
              <w:rPr>
                <w:sz w:val="21"/>
              </w:rPr>
              <w:t>按下列程序付款：</w:t>
            </w:r>
          </w:p>
          <w:p>
            <w:pPr>
              <w:jc w:val="both"/>
            </w:pPr>
            <w:r>
              <w:rPr>
                <w:sz w:val="21"/>
              </w:rPr>
              <w:t>1.</w:t>
            </w:r>
            <w:r>
              <w:rPr>
                <w:sz w:val="21"/>
              </w:rPr>
              <w:t>服务期内，由</w:t>
            </w:r>
            <w:r>
              <w:rPr>
                <w:sz w:val="21"/>
              </w:rPr>
              <w:t>甲方</w:t>
            </w:r>
            <w:r>
              <w:rPr>
                <w:sz w:val="21"/>
              </w:rPr>
              <w:t>于每月</w:t>
            </w:r>
            <w:r>
              <w:rPr>
                <w:sz w:val="21"/>
              </w:rPr>
              <w:t>15</w:t>
            </w:r>
            <w:r>
              <w:rPr>
                <w:sz w:val="21"/>
              </w:rPr>
              <w:t>日前将上月实际费用以转账结算的方式支付给</w:t>
            </w:r>
            <w:r>
              <w:rPr>
                <w:sz w:val="21"/>
              </w:rPr>
              <w:t>乙方</w:t>
            </w:r>
            <w:r>
              <w:rPr>
                <w:sz w:val="21"/>
              </w:rPr>
              <w:t>合同约定的账户，如遇节假日则顺延到下一个工作日</w:t>
            </w:r>
            <w:r>
              <w:rPr>
                <w:sz w:val="21"/>
              </w:rPr>
              <w:t>；</w:t>
            </w:r>
          </w:p>
          <w:p>
            <w:pPr>
              <w:jc w:val="both"/>
            </w:pPr>
            <w:r>
              <w:rPr>
                <w:sz w:val="21"/>
              </w:rPr>
              <w:t>2.</w:t>
            </w:r>
            <w:r>
              <w:rPr>
                <w:sz w:val="21"/>
              </w:rPr>
              <w:t>乙方</w:t>
            </w:r>
            <w:r>
              <w:rPr>
                <w:sz w:val="21"/>
              </w:rPr>
              <w:t>须在</w:t>
            </w:r>
            <w:r>
              <w:rPr>
                <w:sz w:val="21"/>
              </w:rPr>
              <w:t>甲方</w:t>
            </w:r>
            <w:r>
              <w:rPr>
                <w:sz w:val="21"/>
              </w:rPr>
              <w:t>办理付款手续之前</w:t>
            </w:r>
            <w:r>
              <w:rPr>
                <w:sz w:val="21"/>
              </w:rPr>
              <w:t>5</w:t>
            </w:r>
            <w:r>
              <w:rPr>
                <w:sz w:val="21"/>
              </w:rPr>
              <w:t>个工作日内，提供等额的正式发票给</w:t>
            </w:r>
            <w:r>
              <w:rPr>
                <w:sz w:val="21"/>
              </w:rPr>
              <w:t>甲方</w:t>
            </w:r>
            <w:r>
              <w:rPr>
                <w:sz w:val="21"/>
              </w:rPr>
              <w:t>，以便</w:t>
            </w:r>
            <w:r>
              <w:rPr>
                <w:sz w:val="21"/>
              </w:rPr>
              <w:t>甲方</w:t>
            </w:r>
            <w:r>
              <w:rPr>
                <w:sz w:val="21"/>
              </w:rPr>
              <w:t>及时办理财政付款申请手续</w:t>
            </w:r>
            <w:r>
              <w:rPr>
                <w:sz w:val="21"/>
              </w:rPr>
              <w:t>；</w:t>
            </w:r>
          </w:p>
          <w:p>
            <w:pPr>
              <w:jc w:val="both"/>
            </w:pPr>
            <w:r>
              <w:rPr>
                <w:sz w:val="21"/>
              </w:rPr>
              <w:t>3.</w:t>
            </w:r>
            <w:r>
              <w:rPr>
                <w:sz w:val="21"/>
              </w:rPr>
              <w:t>每月服务费支付公式：每月服务费</w:t>
            </w:r>
            <w:r>
              <w:rPr>
                <w:sz w:val="21"/>
              </w:rPr>
              <w:t>=(</w:t>
            </w:r>
            <w:r>
              <w:rPr>
                <w:sz w:val="21"/>
              </w:rPr>
              <w:t>合同金额</w:t>
            </w:r>
            <w:r>
              <w:rPr>
                <w:sz w:val="21"/>
              </w:rPr>
              <w:t>÷12</w:t>
            </w:r>
            <w:r>
              <w:rPr>
                <w:sz w:val="21"/>
              </w:rPr>
              <w:t>月</w:t>
            </w:r>
            <w:r>
              <w:rPr>
                <w:sz w:val="21"/>
              </w:rPr>
              <w:t>)-</w:t>
            </w:r>
            <w:r>
              <w:rPr>
                <w:sz w:val="21"/>
              </w:rPr>
              <w:t>考核后扣罚金额（如有）－违约应扣款（如有）</w:t>
            </w:r>
            <w:r>
              <w:rPr>
                <w:sz w:val="21"/>
              </w:rPr>
              <w:t>；</w:t>
            </w:r>
          </w:p>
          <w:p>
            <w:pPr>
              <w:jc w:val="both"/>
            </w:pPr>
            <w:r>
              <w:rPr>
                <w:sz w:val="21"/>
              </w:rPr>
              <w:t>4</w:t>
            </w:r>
            <w:r>
              <w:rPr>
                <w:sz w:val="21"/>
              </w:rPr>
              <w:t>.</w:t>
            </w:r>
            <w:r>
              <w:rPr>
                <w:sz w:val="21"/>
              </w:rPr>
              <w:t>乙方</w:t>
            </w:r>
            <w:r>
              <w:rPr>
                <w:sz w:val="21"/>
              </w:rPr>
              <w:t>凭以下有效文件与</w:t>
            </w:r>
            <w:r>
              <w:rPr>
                <w:sz w:val="21"/>
              </w:rPr>
              <w:t>甲方</w:t>
            </w:r>
            <w:r>
              <w:rPr>
                <w:sz w:val="21"/>
              </w:rPr>
              <w:t>结算：</w:t>
            </w:r>
          </w:p>
          <w:p>
            <w:pPr>
              <w:jc w:val="both"/>
            </w:pPr>
            <w:r>
              <w:rPr>
                <w:sz w:val="21"/>
              </w:rPr>
              <w:t xml:space="preserve"> (1)</w:t>
            </w:r>
            <w:r>
              <w:rPr>
                <w:sz w:val="21"/>
              </w:rPr>
              <w:t>合同；</w:t>
            </w:r>
          </w:p>
          <w:p>
            <w:pPr>
              <w:jc w:val="both"/>
            </w:pPr>
            <w:r>
              <w:rPr>
                <w:sz w:val="21"/>
              </w:rPr>
              <w:t xml:space="preserve"> (2)</w:t>
            </w:r>
            <w:r>
              <w:rPr>
                <w:sz w:val="21"/>
              </w:rPr>
              <w:t>乙方</w:t>
            </w:r>
            <w:r>
              <w:rPr>
                <w:sz w:val="21"/>
              </w:rPr>
              <w:t>开具划拨款项等额的正式发票，有效发票必须遵循属地管理原则；</w:t>
            </w:r>
          </w:p>
          <w:p>
            <w:pPr>
              <w:jc w:val="both"/>
            </w:pPr>
            <w:r>
              <w:rPr>
                <w:sz w:val="21"/>
              </w:rPr>
              <w:t xml:space="preserve"> (3)</w:t>
            </w:r>
            <w:r>
              <w:rPr>
                <w:sz w:val="21"/>
              </w:rPr>
              <w:t>成交通知书；</w:t>
            </w:r>
          </w:p>
          <w:p>
            <w:pPr>
              <w:jc w:val="both"/>
            </w:pPr>
            <w:r>
              <w:rPr>
                <w:sz w:val="21"/>
              </w:rPr>
              <w:t xml:space="preserve"> (4)</w:t>
            </w:r>
            <w:r>
              <w:rPr>
                <w:sz w:val="21"/>
              </w:rPr>
              <w:t>甲方</w:t>
            </w:r>
            <w:r>
              <w:rPr>
                <w:sz w:val="21"/>
              </w:rPr>
              <w:t>要求的其它证明文件</w:t>
            </w:r>
            <w:r>
              <w:rPr>
                <w:sz w:val="21"/>
              </w:rPr>
              <w:t>。</w:t>
            </w:r>
          </w:p>
          <w:p>
            <w:pPr>
              <w:jc w:val="both"/>
            </w:pPr>
            <w:r>
              <w:rPr>
                <w:sz w:val="21"/>
              </w:rPr>
              <w:t>5</w:t>
            </w:r>
            <w:r>
              <w:rPr>
                <w:sz w:val="21"/>
              </w:rPr>
              <w:t>.</w:t>
            </w:r>
            <w:r>
              <w:rPr>
                <w:sz w:val="21"/>
              </w:rPr>
              <w:t>收款方、出具发票方、合同乙方均必须与供应商名称一致</w:t>
            </w:r>
            <w:r>
              <w:rPr>
                <w:sz w:val="21"/>
              </w:rPr>
              <w:t>；</w:t>
            </w:r>
          </w:p>
          <w:p>
            <w:pPr>
              <w:jc w:val="both"/>
            </w:pPr>
            <w:r>
              <w:rPr>
                <w:sz w:val="21"/>
              </w:rPr>
              <w:t>6</w:t>
            </w:r>
            <w:r>
              <w:rPr>
                <w:sz w:val="21"/>
              </w:rPr>
              <w:t>.</w:t>
            </w:r>
            <w:r>
              <w:rPr>
                <w:sz w:val="21"/>
              </w:rPr>
              <w:t>成交人应理解政府部门付款的相关程序，因</w:t>
            </w:r>
            <w:r>
              <w:rPr>
                <w:sz w:val="21"/>
              </w:rPr>
              <w:t>甲方</w:t>
            </w:r>
            <w:r>
              <w:rPr>
                <w:sz w:val="21"/>
              </w:rPr>
              <w:t>使用的是财政资金，</w:t>
            </w:r>
            <w:r>
              <w:rPr>
                <w:sz w:val="21"/>
              </w:rPr>
              <w:t>甲方</w:t>
            </w:r>
            <w:r>
              <w:rPr>
                <w:sz w:val="21"/>
              </w:rPr>
              <w:t>在前款规定的付款时间为向政府采购支付部门提出办理财政支付申请手续的时间（不含政府财政支付部门审核的时间），在规定时间内提出支付申请手续后即视为</w:t>
            </w:r>
            <w:r>
              <w:rPr>
                <w:sz w:val="21"/>
              </w:rPr>
              <w:t>甲方</w:t>
            </w:r>
            <w:r>
              <w:rPr>
                <w:sz w:val="21"/>
              </w:rPr>
              <w:t>已经按期支付</w:t>
            </w:r>
            <w:r>
              <w:rPr>
                <w:sz w:val="21"/>
              </w:rPr>
              <w:t>。</w:t>
            </w:r>
          </w:p>
        </w:tc>
      </w:tr>
      <w:tr>
        <w:tc>
          <w:tcPr>
            <w:tcW w:type="dxa" w:w="818"/>
            <w:tcBorders>
              <w:top w:val="none" w:color="000000" w:sz="4"/>
              <w:left w:val="single" w:color="000000" w:sz="4"/>
              <w:bottom w:val="single" w:color="000000" w:sz="4"/>
              <w:right w:val="single" w:color="000000" w:sz="4"/>
            </w:tcBorders>
            <w:vAlign w:val="top"/>
          </w:tcPr>
          <w:p>
            <w:pPr>
              <w:jc w:val="center"/>
            </w:pPr>
            <w:r>
              <w:rPr>
                <w:b/>
                <w:sz w:val="21"/>
              </w:rPr>
              <w:t>7.</w:t>
            </w:r>
          </w:p>
        </w:tc>
        <w:tc>
          <w:tcPr>
            <w:tcW w:type="dxa" w:w="1520"/>
            <w:tcBorders>
              <w:top w:val="none" w:color="000000" w:sz="4"/>
              <w:left w:val="none" w:color="000000" w:sz="4"/>
              <w:bottom w:val="single" w:color="000000" w:sz="4"/>
              <w:right w:val="single" w:color="000000" w:sz="4"/>
            </w:tcBorders>
            <w:vAlign w:val="top"/>
          </w:tcPr>
          <w:p>
            <w:pPr>
              <w:jc w:val="center"/>
            </w:pPr>
            <w:r>
              <w:rPr>
                <w:b/>
                <w:sz w:val="21"/>
              </w:rPr>
              <w:t>付款要求</w:t>
            </w:r>
          </w:p>
        </w:tc>
        <w:tc>
          <w:tcPr>
            <w:tcW w:type="dxa" w:w="5951"/>
            <w:tcBorders>
              <w:top w:val="none" w:color="000000" w:sz="4"/>
              <w:left w:val="none" w:color="000000" w:sz="4"/>
              <w:bottom w:val="single" w:color="000000" w:sz="4"/>
              <w:right w:val="single" w:color="000000" w:sz="4"/>
            </w:tcBorders>
            <w:vAlign w:val="top"/>
          </w:tcPr>
          <w:p>
            <w:pPr>
              <w:jc w:val="left"/>
            </w:pPr>
            <w:r>
              <w:rPr>
                <w:sz w:val="21"/>
              </w:rPr>
              <w:t>（</w:t>
            </w:r>
            <w:r>
              <w:rPr>
                <w:sz w:val="21"/>
              </w:rPr>
              <w:t>1</w:t>
            </w:r>
            <w:r>
              <w:rPr>
                <w:sz w:val="21"/>
              </w:rPr>
              <w:t>）乙方须向甲方提供依法纳税的服务费发票。</w:t>
            </w:r>
          </w:p>
          <w:p>
            <w:pPr>
              <w:jc w:val="left"/>
            </w:pPr>
            <w:r>
              <w:rPr>
                <w:sz w:val="21"/>
              </w:rPr>
              <w:t>（</w:t>
            </w:r>
            <w:r>
              <w:rPr>
                <w:sz w:val="21"/>
              </w:rPr>
              <w:t>2</w:t>
            </w:r>
            <w:r>
              <w:rPr>
                <w:sz w:val="21"/>
              </w:rPr>
              <w:t>）服务费以转账方式转入乙方的银行账户。</w:t>
            </w:r>
          </w:p>
          <w:p>
            <w:pPr>
              <w:jc w:val="left"/>
            </w:pPr>
            <w:r>
              <w:rPr>
                <w:sz w:val="21"/>
              </w:rPr>
              <w:t>（</w:t>
            </w:r>
            <w:r>
              <w:rPr>
                <w:sz w:val="21"/>
              </w:rPr>
              <w:t>3</w:t>
            </w:r>
            <w:r>
              <w:rPr>
                <w:sz w:val="21"/>
              </w:rPr>
              <w:t>）收款方、出具发票方、合同乙方均必须与中标（成交）供应商名称一致。</w:t>
            </w:r>
          </w:p>
          <w:p>
            <w:pPr>
              <w:jc w:val="left"/>
            </w:pPr>
            <w:r>
              <w:rPr>
                <w:sz w:val="21"/>
              </w:rPr>
              <w:t>（</w:t>
            </w:r>
            <w:r>
              <w:rPr>
                <w:sz w:val="21"/>
              </w:rPr>
              <w:t>4</w:t>
            </w:r>
            <w:r>
              <w:rPr>
                <w:sz w:val="21"/>
              </w:rPr>
              <w:t>）提供中标通知书及合同。</w:t>
            </w:r>
          </w:p>
        </w:tc>
      </w:tr>
      <w:tr>
        <w:tc>
          <w:tcPr>
            <w:tcW w:type="dxa" w:w="818"/>
            <w:tcBorders>
              <w:top w:val="none" w:color="000000" w:sz="4"/>
              <w:left w:val="single" w:color="000000" w:sz="4"/>
              <w:bottom w:val="single" w:color="000000" w:sz="4"/>
              <w:right w:val="single" w:color="000000" w:sz="4"/>
            </w:tcBorders>
            <w:vAlign w:val="top"/>
          </w:tcPr>
          <w:p>
            <w:pPr>
              <w:jc w:val="center"/>
            </w:pPr>
            <w:r>
              <w:rPr>
                <w:b/>
                <w:sz w:val="21"/>
              </w:rPr>
              <w:t>8.</w:t>
            </w:r>
          </w:p>
        </w:tc>
        <w:tc>
          <w:tcPr>
            <w:tcW w:type="dxa" w:w="1520"/>
            <w:tcBorders>
              <w:top w:val="none" w:color="000000" w:sz="4"/>
              <w:left w:val="none" w:color="000000" w:sz="4"/>
              <w:bottom w:val="single" w:color="000000" w:sz="4"/>
              <w:right w:val="single" w:color="000000" w:sz="4"/>
            </w:tcBorders>
            <w:vAlign w:val="top"/>
          </w:tcPr>
          <w:p>
            <w:pPr>
              <w:jc w:val="center"/>
            </w:pPr>
            <w:r>
              <w:rPr>
                <w:b/>
                <w:sz w:val="21"/>
              </w:rPr>
              <w:t>履约保证金</w:t>
            </w:r>
          </w:p>
        </w:tc>
        <w:tc>
          <w:tcPr>
            <w:tcW w:type="dxa" w:w="5951"/>
            <w:tcBorders>
              <w:top w:val="none" w:color="000000" w:sz="4"/>
              <w:left w:val="none" w:color="000000" w:sz="4"/>
              <w:bottom w:val="single" w:color="000000" w:sz="4"/>
              <w:right w:val="single" w:color="000000" w:sz="4"/>
            </w:tcBorders>
            <w:vAlign w:val="top"/>
          </w:tcPr>
          <w:p>
            <w:pPr>
              <w:jc w:val="left"/>
            </w:pPr>
            <w:r>
              <w:rPr>
                <w:sz w:val="21"/>
              </w:rPr>
              <w:t>收取比例：</w:t>
            </w:r>
            <w:r>
              <w:rPr>
                <w:sz w:val="21"/>
              </w:rPr>
              <w:t>3%,</w:t>
            </w:r>
            <w:r>
              <w:rPr>
                <w:sz w:val="21"/>
              </w:rPr>
              <w:t>说明：</w:t>
            </w:r>
            <w:r>
              <w:rPr>
                <w:sz w:val="21"/>
              </w:rPr>
              <w:t>乙方</w:t>
            </w:r>
            <w:r>
              <w:rPr>
                <w:sz w:val="21"/>
              </w:rPr>
              <w:t>与</w:t>
            </w:r>
            <w:r>
              <w:rPr>
                <w:sz w:val="21"/>
              </w:rPr>
              <w:t>甲方</w:t>
            </w:r>
            <w:r>
              <w:rPr>
                <w:sz w:val="21"/>
              </w:rPr>
              <w:t>签订合同后</w:t>
            </w:r>
            <w:r>
              <w:rPr>
                <w:sz w:val="21"/>
              </w:rPr>
              <w:t>3</w:t>
            </w:r>
            <w:r>
              <w:rPr>
                <w:sz w:val="21"/>
              </w:rPr>
              <w:t>个工作日内，按一年合同总价的（</w:t>
            </w:r>
            <w:r>
              <w:rPr>
                <w:sz w:val="21"/>
              </w:rPr>
              <w:t>3%</w:t>
            </w:r>
            <w:r>
              <w:rPr>
                <w:sz w:val="21"/>
              </w:rPr>
              <w:t>）向</w:t>
            </w:r>
            <w:r>
              <w:rPr>
                <w:sz w:val="21"/>
              </w:rPr>
              <w:t>甲方</w:t>
            </w:r>
            <w:r>
              <w:rPr>
                <w:sz w:val="21"/>
              </w:rPr>
              <w:t>提交履约保证金。缴纳形式：应以银行转账或金融机构、担保机构出具的保函等非现金形式向</w:t>
            </w:r>
            <w:r>
              <w:rPr>
                <w:sz w:val="21"/>
              </w:rPr>
              <w:t>甲方</w:t>
            </w:r>
            <w:r>
              <w:rPr>
                <w:sz w:val="21"/>
              </w:rPr>
              <w:t>提交履约保证金（履约保证金为合同总额的</w:t>
            </w:r>
            <w:r>
              <w:rPr>
                <w:sz w:val="21"/>
              </w:rPr>
              <w:t>3%</w:t>
            </w:r>
            <w:r>
              <w:rPr>
                <w:sz w:val="21"/>
              </w:rPr>
              <w:t>）。如中标供应商以保函方式提交，则保函有效期为：自合同签订生效之日起至交货期满后</w:t>
            </w:r>
            <w:r>
              <w:rPr>
                <w:sz w:val="21"/>
              </w:rPr>
              <w:t>30</w:t>
            </w:r>
            <w:r>
              <w:rPr>
                <w:sz w:val="21"/>
              </w:rPr>
              <w:t>日止，保函内容应包括但不限于以下内容：</w:t>
            </w:r>
            <w:r>
              <w:rPr>
                <w:sz w:val="21"/>
              </w:rPr>
              <w:t>甲方</w:t>
            </w:r>
            <w:r>
              <w:rPr>
                <w:sz w:val="21"/>
              </w:rPr>
              <w:t>名称、项目名称、中标供应商名称、担保金额、担保期限，保证方式为连带责任保证。如以银行转账方式提交保证金的，</w:t>
            </w:r>
            <w:r>
              <w:rPr>
                <w:sz w:val="21"/>
              </w:rPr>
              <w:t>乙方</w:t>
            </w:r>
            <w:r>
              <w:rPr>
                <w:sz w:val="21"/>
              </w:rPr>
              <w:t>没有违约行为，履约保证金在合同有效期满后</w:t>
            </w:r>
            <w:r>
              <w:rPr>
                <w:sz w:val="21"/>
              </w:rPr>
              <w:t>30</w:t>
            </w:r>
            <w:r>
              <w:rPr>
                <w:sz w:val="21"/>
              </w:rPr>
              <w:t>个工作日内由</w:t>
            </w:r>
            <w:r>
              <w:rPr>
                <w:sz w:val="21"/>
              </w:rPr>
              <w:t>甲方</w:t>
            </w:r>
            <w:r>
              <w:rPr>
                <w:sz w:val="21"/>
              </w:rPr>
              <w:t>无息退还</w:t>
            </w:r>
            <w:r>
              <w:rPr>
                <w:sz w:val="21"/>
              </w:rPr>
              <w:t>乙方</w:t>
            </w:r>
            <w:r>
              <w:rPr>
                <w:sz w:val="21"/>
              </w:rPr>
              <w:t>，如</w:t>
            </w:r>
            <w:r>
              <w:rPr>
                <w:sz w:val="21"/>
              </w:rPr>
              <w:t>甲方</w:t>
            </w:r>
            <w:r>
              <w:rPr>
                <w:sz w:val="21"/>
              </w:rPr>
              <w:t>不能及时退还履约保证金，则应提交书面说明并自逾期退还履约保证金之日起按银行同期存款利率带息退还给</w:t>
            </w:r>
            <w:r>
              <w:rPr>
                <w:sz w:val="21"/>
              </w:rPr>
              <w:t>乙方</w:t>
            </w:r>
            <w:r>
              <w:rPr>
                <w:sz w:val="21"/>
              </w:rPr>
              <w:t>。（因中标人自身原因导致不能退还的除外）。若</w:t>
            </w:r>
            <w:r>
              <w:rPr>
                <w:sz w:val="21"/>
              </w:rPr>
              <w:t>乙方</w:t>
            </w:r>
            <w:r>
              <w:rPr>
                <w:sz w:val="21"/>
              </w:rPr>
              <w:t>累计</w:t>
            </w:r>
            <w:r>
              <w:rPr>
                <w:sz w:val="21"/>
              </w:rPr>
              <w:t>3</w:t>
            </w:r>
            <w:r>
              <w:rPr>
                <w:sz w:val="21"/>
              </w:rPr>
              <w:t>次服务评价为</w:t>
            </w:r>
            <w:r>
              <w:rPr>
                <w:sz w:val="21"/>
              </w:rPr>
              <w:t>C</w:t>
            </w:r>
            <w:r>
              <w:rPr>
                <w:sz w:val="21"/>
              </w:rPr>
              <w:t>级的或累计</w:t>
            </w:r>
            <w:r>
              <w:rPr>
                <w:sz w:val="21"/>
              </w:rPr>
              <w:t>2</w:t>
            </w:r>
            <w:r>
              <w:rPr>
                <w:sz w:val="21"/>
              </w:rPr>
              <w:t>次服务评价为</w:t>
            </w:r>
            <w:r>
              <w:rPr>
                <w:sz w:val="21"/>
              </w:rPr>
              <w:t>D</w:t>
            </w:r>
            <w:r>
              <w:rPr>
                <w:sz w:val="21"/>
              </w:rPr>
              <w:t>级的，</w:t>
            </w:r>
            <w:r>
              <w:rPr>
                <w:sz w:val="21"/>
              </w:rPr>
              <w:t>甲方</w:t>
            </w:r>
            <w:r>
              <w:rPr>
                <w:sz w:val="21"/>
              </w:rPr>
              <w:t>有权单方终止合同，履约保证金全部不作退还。</w:t>
            </w:r>
          </w:p>
        </w:tc>
      </w:tr>
      <w:tr>
        <w:tc>
          <w:tcPr>
            <w:tcW w:type="dxa" w:w="818"/>
            <w:tcBorders>
              <w:top w:val="none" w:color="000000" w:sz="4"/>
              <w:left w:val="single" w:color="000000" w:sz="4"/>
              <w:bottom w:val="single" w:color="000000" w:sz="4"/>
              <w:right w:val="single" w:color="000000" w:sz="4"/>
            </w:tcBorders>
            <w:vAlign w:val="top"/>
          </w:tcPr>
          <w:p>
            <w:pPr>
              <w:jc w:val="center"/>
            </w:pPr>
            <w:r>
              <w:rPr>
                <w:b/>
                <w:sz w:val="21"/>
              </w:rPr>
              <w:t>9.</w:t>
            </w:r>
          </w:p>
        </w:tc>
        <w:tc>
          <w:tcPr>
            <w:tcW w:type="dxa" w:w="1520"/>
            <w:tcBorders>
              <w:top w:val="none" w:color="000000" w:sz="4"/>
              <w:left w:val="none" w:color="000000" w:sz="4"/>
              <w:bottom w:val="single" w:color="000000" w:sz="4"/>
              <w:right w:val="single" w:color="000000" w:sz="4"/>
            </w:tcBorders>
            <w:vAlign w:val="top"/>
          </w:tcPr>
          <w:p>
            <w:pPr>
              <w:jc w:val="center"/>
            </w:pPr>
            <w:r>
              <w:rPr>
                <w:b/>
                <w:sz w:val="21"/>
              </w:rPr>
              <w:t>保密要求</w:t>
            </w:r>
          </w:p>
        </w:tc>
        <w:tc>
          <w:tcPr>
            <w:tcW w:type="dxa" w:w="5951"/>
            <w:tcBorders>
              <w:top w:val="none" w:color="000000" w:sz="4"/>
              <w:left w:val="none" w:color="000000" w:sz="4"/>
              <w:bottom w:val="single" w:color="000000" w:sz="4"/>
              <w:right w:val="single" w:color="000000" w:sz="4"/>
            </w:tcBorders>
            <w:vAlign w:val="top"/>
          </w:tcPr>
          <w:p>
            <w:pPr>
              <w:jc w:val="left"/>
            </w:pPr>
            <w:r>
              <w:rPr>
                <w:sz w:val="21"/>
              </w:rPr>
              <w:t>乙方</w:t>
            </w:r>
            <w:r>
              <w:rPr>
                <w:sz w:val="21"/>
              </w:rPr>
              <w:t>应对项目实施内容、双方签订合同的具体内容和其他有关本系统的文档资料进行保密，涉及本项目的任何文件资料、往来信函等合同双方应妥善保管，不得外泄。</w:t>
            </w:r>
          </w:p>
        </w:tc>
      </w:tr>
      <w:tr>
        <w:tc>
          <w:tcPr>
            <w:tcW w:type="dxa" w:w="818"/>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1520"/>
            <w:tcBorders>
              <w:top w:val="none" w:color="000000" w:sz="4"/>
              <w:left w:val="none" w:color="000000" w:sz="4"/>
              <w:bottom w:val="single" w:color="000000" w:sz="4"/>
              <w:right w:val="single" w:color="000000" w:sz="4"/>
            </w:tcBorders>
            <w:vAlign w:val="top"/>
          </w:tcPr>
          <w:p>
            <w:pPr>
              <w:jc w:val="center"/>
            </w:pPr>
            <w:r>
              <w:rPr>
                <w:b/>
                <w:sz w:val="21"/>
              </w:rPr>
              <w:t>……</w:t>
            </w:r>
          </w:p>
        </w:tc>
        <w:tc>
          <w:tcPr>
            <w:tcW w:type="dxa" w:w="5951"/>
            <w:tcBorders>
              <w:top w:val="none" w:color="000000" w:sz="4"/>
              <w:left w:val="none" w:color="000000" w:sz="4"/>
              <w:bottom w:val="single" w:color="000000" w:sz="4"/>
              <w:right w:val="single" w:color="000000" w:sz="4"/>
            </w:tcBorders>
            <w:vAlign w:val="top"/>
          </w:tcPr>
          <w:p>
            <w:pPr>
              <w:jc w:val="left"/>
            </w:pPr>
          </w:p>
        </w:tc>
      </w:tr>
    </w:tbl>
    <w:p>
      <w:pPr>
        <w:jc w:val="both"/>
      </w:pPr>
    </w:p>
    <w:p>
      <w:pPr>
        <w:jc w:val="both"/>
      </w:pPr>
      <w:r>
        <w:rPr>
          <w:b/>
          <w:sz w:val="24"/>
        </w:rPr>
        <w:t>四、服务对照执行标准：</w:t>
      </w:r>
    </w:p>
    <w:p>
      <w:pPr>
        <w:jc w:val="both"/>
      </w:pPr>
      <w:r>
        <w:rPr>
          <w:sz w:val="24"/>
        </w:rPr>
        <w:t>1.</w:t>
      </w:r>
      <w:r>
        <w:rPr>
          <w:sz w:val="24"/>
        </w:rPr>
        <w:t>符合中华人民共和国国家和履约地相关安全质量标准、行业技术规范标准；</w:t>
      </w:r>
    </w:p>
    <w:p>
      <w:pPr>
        <w:jc w:val="both"/>
      </w:pPr>
      <w:r>
        <w:rPr>
          <w:sz w:val="24"/>
        </w:rPr>
        <w:t>2.</w:t>
      </w:r>
      <w:r>
        <w:rPr>
          <w:sz w:val="24"/>
        </w:rPr>
        <w:t>符合采购文件和响应承诺中各方共同认可的合理要求；</w:t>
      </w:r>
    </w:p>
    <w:p>
      <w:pPr>
        <w:jc w:val="both"/>
      </w:pPr>
      <w:r>
        <w:rPr>
          <w:sz w:val="24"/>
        </w:rPr>
        <w:t>3.</w:t>
      </w:r>
      <w:r>
        <w:rPr>
          <w:sz w:val="24"/>
        </w:rPr>
        <w:t>上述各类标准与法规必须是有关官方机构最新发布的现行标准版本。</w:t>
      </w:r>
    </w:p>
    <w:p>
      <w:pPr>
        <w:jc w:val="both"/>
      </w:pPr>
      <w:r>
        <w:rPr>
          <w:b/>
          <w:sz w:val="24"/>
        </w:rPr>
        <w:t>五、投诉跟踪服务要求：</w:t>
      </w:r>
    </w:p>
    <w:p>
      <w:pPr>
        <w:jc w:val="both"/>
      </w:pPr>
      <w:r>
        <w:rPr>
          <w:sz w:val="24"/>
        </w:rPr>
        <w:t>1.</w:t>
      </w:r>
      <w:r>
        <w:rPr>
          <w:sz w:val="24"/>
        </w:rPr>
        <w:t>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pPr>
        <w:jc w:val="both"/>
      </w:pPr>
      <w:r>
        <w:rPr>
          <w:sz w:val="24"/>
        </w:rPr>
        <w:t>2.</w:t>
      </w:r>
      <w:r>
        <w:rPr>
          <w:sz w:val="24"/>
        </w:rPr>
        <w:t>服务期内，甲方有权按本项目的管理要求对乙方进行不定期抽查检查，若对不合格的管理服务提出警告后，仍未得到有效解决时，甲方有权终止管理合同。</w:t>
      </w:r>
    </w:p>
    <w:p>
      <w:pPr>
        <w:jc w:val="both"/>
      </w:pPr>
      <w:r>
        <w:rPr>
          <w:sz w:val="24"/>
        </w:rPr>
        <w:t>3.</w:t>
      </w:r>
      <w:r>
        <w:rPr>
          <w:sz w:val="24"/>
        </w:rPr>
        <w:t>乙方服务机构名称及地址：</w:t>
      </w:r>
      <w:r>
        <w:rPr>
          <w:sz w:val="21"/>
        </w:rPr>
        <w:t xml:space="preserve"> </w:t>
      </w:r>
    </w:p>
    <w:p>
      <w:pPr>
        <w:ind w:firstLine="420"/>
        <w:jc w:val="both"/>
      </w:pPr>
      <w:r>
        <w:rPr>
          <w:sz w:val="24"/>
        </w:rPr>
        <w:t>联系人</w:t>
      </w:r>
      <w:r>
        <w:rPr>
          <w:sz w:val="24"/>
        </w:rPr>
        <w:t>1</w:t>
      </w:r>
      <w:r>
        <w:rPr>
          <w:sz w:val="24"/>
        </w:rPr>
        <w:t>：          ，联系电话：            ，手机：          ；</w:t>
      </w:r>
    </w:p>
    <w:p>
      <w:pPr>
        <w:ind w:firstLine="420"/>
        <w:jc w:val="both"/>
      </w:pPr>
      <w:r>
        <w:rPr>
          <w:sz w:val="24"/>
        </w:rPr>
        <w:t>联系人</w:t>
      </w:r>
      <w:r>
        <w:rPr>
          <w:sz w:val="24"/>
        </w:rPr>
        <w:t>2</w:t>
      </w:r>
      <w:r>
        <w:rPr>
          <w:sz w:val="24"/>
        </w:rPr>
        <w:t>：          ，联系电话：            ，手机：          ；</w:t>
      </w:r>
    </w:p>
    <w:p>
      <w:pPr>
        <w:ind w:firstLine="420"/>
        <w:jc w:val="both"/>
      </w:pPr>
      <w:r>
        <w:rPr>
          <w:sz w:val="24"/>
        </w:rPr>
        <w:t>服务专线电话：</w:t>
      </w:r>
    </w:p>
    <w:p>
      <w:pPr>
        <w:jc w:val="both"/>
      </w:pPr>
    </w:p>
    <w:p>
      <w:pPr>
        <w:jc w:val="both"/>
      </w:pPr>
      <w:r>
        <w:rPr>
          <w:sz w:val="24"/>
        </w:rPr>
        <w:t>4.</w:t>
      </w:r>
      <w:r>
        <w:rPr>
          <w:sz w:val="24"/>
        </w:rPr>
        <w:t>其他服务要求：（补充内容不得对采购文件和投标</w:t>
      </w:r>
      <w:r>
        <w:rPr>
          <w:sz w:val="24"/>
        </w:rPr>
        <w:t>/</w:t>
      </w:r>
      <w:r>
        <w:rPr>
          <w:sz w:val="24"/>
        </w:rPr>
        <w:t>响应文件作实质性修改）</w:t>
      </w:r>
    </w:p>
    <w:p>
      <w:pPr>
        <w:jc w:val="both"/>
      </w:pPr>
      <w:r>
        <w:rPr>
          <w:sz w:val="21"/>
          <w:u w:val="single"/>
        </w:rPr>
        <w:t xml:space="preserve">                                                          </w:t>
      </w:r>
      <w:r>
        <w:rPr>
          <w:sz w:val="24"/>
        </w:rPr>
        <w:t>。</w:t>
      </w:r>
    </w:p>
    <w:p>
      <w:pPr>
        <w:jc w:val="both"/>
      </w:pPr>
      <w:r>
        <w:rPr>
          <w:b/>
          <w:sz w:val="24"/>
        </w:rPr>
        <w:t>六、验收要求：</w:t>
      </w:r>
    </w:p>
    <w:p>
      <w:pPr>
        <w:jc w:val="both"/>
      </w:pPr>
      <w:r>
        <w:rPr>
          <w:sz w:val="24"/>
        </w:rPr>
        <w:t>1.</w:t>
      </w:r>
      <w:r>
        <w:rPr>
          <w:sz w:val="24"/>
        </w:rPr>
        <w:t>甲方在收到乙方项目验收建议之日起</w:t>
      </w:r>
      <w:r>
        <w:rPr>
          <w:sz w:val="24"/>
        </w:rPr>
        <w:t>7</w:t>
      </w:r>
      <w:r>
        <w:rPr>
          <w:sz w:val="24"/>
        </w:rPr>
        <w:t>个工作日内按照合同的约定对履约情况进行验收。乙方需为验收提供必需的一切条件及相关费用，并提供本项目的相关文档和验收所需资料，积极配合甲方完成验收工作。</w:t>
      </w:r>
    </w:p>
    <w:p>
      <w:pPr>
        <w:jc w:val="both"/>
      </w:pPr>
      <w:r>
        <w:rPr>
          <w:sz w:val="24"/>
        </w:rPr>
        <w:t>2.</w:t>
      </w:r>
      <w:r>
        <w:rPr>
          <w:sz w:val="24"/>
        </w:rPr>
        <w:t>其他验收要求：（补充内容不得对采购文件和投标</w:t>
      </w:r>
      <w:r>
        <w:rPr>
          <w:sz w:val="24"/>
        </w:rPr>
        <w:t>/</w:t>
      </w:r>
      <w:r>
        <w:rPr>
          <w:sz w:val="24"/>
        </w:rPr>
        <w:t>响应文件作实质性修改）</w:t>
      </w:r>
    </w:p>
    <w:p>
      <w:pPr>
        <w:ind w:firstLine="480"/>
        <w:jc w:val="both"/>
      </w:pPr>
      <w:r>
        <w:rPr>
          <w:sz w:val="24"/>
          <w:u w:val="single"/>
        </w:rPr>
        <w:t>本项目按月进行考核。</w:t>
      </w:r>
      <w:r>
        <w:rPr>
          <w:sz w:val="24"/>
          <w:u w:val="single"/>
        </w:rPr>
        <w:t>甲方在接到乙方提交的依法纳税的服务费发票后，结合对乙方的服务质量进行付款，甲方支付的服务费用与月度考核挂钩。（甲方有权根据实际情况对本考核办法进行修改与补充）</w:t>
      </w:r>
      <w:r>
        <w:rPr>
          <w:sz w:val="24"/>
        </w:rPr>
        <w:t>。</w:t>
      </w:r>
    </w:p>
    <w:p>
      <w:pPr>
        <w:jc w:val="both"/>
      </w:pPr>
      <w:r>
        <w:rPr>
          <w:b/>
          <w:sz w:val="24"/>
        </w:rPr>
        <w:t>七、知识产权和保密要求：</w:t>
      </w:r>
    </w:p>
    <w:p>
      <w:pPr>
        <w:jc w:val="both"/>
      </w:pPr>
      <w:r>
        <w:rPr>
          <w:sz w:val="21"/>
          <w:u w:val="single"/>
        </w:rPr>
        <w:t xml:space="preserve">                                                                </w:t>
      </w:r>
      <w:r>
        <w:rPr>
          <w:sz w:val="24"/>
        </w:rPr>
        <w:t>。</w:t>
      </w:r>
    </w:p>
    <w:p>
      <w:pPr>
        <w:jc w:val="both"/>
      </w:pPr>
      <w:r>
        <w:rPr>
          <w:b/>
          <w:sz w:val="24"/>
        </w:rPr>
        <w:t>八、违约责任：</w:t>
      </w:r>
    </w:p>
    <w:p>
      <w:pPr>
        <w:jc w:val="both"/>
      </w:pPr>
      <w:r>
        <w:rPr>
          <w:sz w:val="24"/>
        </w:rPr>
        <w:t>1.</w:t>
      </w:r>
      <w:r>
        <w:rPr>
          <w:sz w:val="24"/>
        </w:rPr>
        <w:t>乙方未按要求履行合同义务时，须从违约之日起每日按合同总额的</w:t>
      </w:r>
      <w:r>
        <w:rPr>
          <w:sz w:val="21"/>
          <w:u w:val="single"/>
        </w:rPr>
        <w:t xml:space="preserve">    </w:t>
      </w:r>
      <w:r>
        <w:rPr>
          <w:sz w:val="24"/>
        </w:rPr>
        <w:t>比例向甲方支付违约金；逾期</w:t>
      </w:r>
      <w:r>
        <w:rPr>
          <w:sz w:val="21"/>
          <w:u w:val="single"/>
        </w:rPr>
        <w:t xml:space="preserve">    </w:t>
      </w:r>
      <w:r>
        <w:rPr>
          <w:sz w:val="24"/>
        </w:rPr>
        <w:t>日以上时，甲方有权终止合同，由此造成甲方的经济损失由乙方承担。违约金不足以弥补损失的，乙方应按全额赔偿。</w:t>
      </w:r>
    </w:p>
    <w:p>
      <w:pPr>
        <w:jc w:val="both"/>
      </w:pPr>
      <w:r>
        <w:rPr>
          <w:sz w:val="24"/>
        </w:rPr>
        <w:t>2.</w:t>
      </w:r>
      <w:r>
        <w:rPr>
          <w:sz w:val="24"/>
        </w:rPr>
        <w:t>甲方未按要求履行合同义务时，或无故拖延验收、付款时，甲方须向乙方支付滞纳金，标准为每日按逾期应付款总额的</w:t>
      </w:r>
      <w:r>
        <w:rPr>
          <w:sz w:val="21"/>
          <w:u w:val="single"/>
        </w:rPr>
        <w:t xml:space="preserve">    </w:t>
      </w:r>
      <w:r>
        <w:rPr>
          <w:sz w:val="24"/>
        </w:rPr>
        <w:t>累计。</w:t>
      </w:r>
    </w:p>
    <w:p>
      <w:pPr>
        <w:jc w:val="both"/>
      </w:pPr>
      <w:r>
        <w:rPr>
          <w:b/>
          <w:sz w:val="24"/>
        </w:rPr>
        <w:t>九、提出异议的时间和方法：</w:t>
      </w:r>
    </w:p>
    <w:p>
      <w:pPr>
        <w:jc w:val="both"/>
      </w:pPr>
      <w:r>
        <w:rPr>
          <w:sz w:val="24"/>
        </w:rPr>
        <w:t>1.</w:t>
      </w:r>
      <w:r>
        <w:rPr>
          <w:sz w:val="24"/>
        </w:rPr>
        <w:t>甲方有异议时，应</w:t>
      </w:r>
      <w:r>
        <w:rPr>
          <w:sz w:val="21"/>
          <w:u w:val="single"/>
        </w:rPr>
        <w:t xml:space="preserve">     </w:t>
      </w:r>
      <w:r>
        <w:rPr>
          <w:sz w:val="24"/>
        </w:rPr>
        <w:t>天内向乙方提出书面异议。</w:t>
      </w:r>
    </w:p>
    <w:p>
      <w:pPr>
        <w:jc w:val="both"/>
      </w:pPr>
      <w:r>
        <w:rPr>
          <w:sz w:val="24"/>
        </w:rPr>
        <w:t>2.</w:t>
      </w:r>
      <w:r>
        <w:rPr>
          <w:sz w:val="24"/>
        </w:rPr>
        <w:t>乙方在接到甲方书面异议后，应在</w:t>
      </w:r>
      <w:r>
        <w:rPr>
          <w:sz w:val="24"/>
        </w:rPr>
        <w:t>3</w:t>
      </w:r>
      <w:r>
        <w:rPr>
          <w:sz w:val="24"/>
        </w:rPr>
        <w:t>天内负责处理并函复甲方处理情况，否则，即视为默认甲方提出的异议和处理意见。</w:t>
      </w:r>
    </w:p>
    <w:p>
      <w:pPr>
        <w:jc w:val="both"/>
      </w:pPr>
      <w:r>
        <w:rPr>
          <w:sz w:val="24"/>
        </w:rPr>
        <w:t>3.</w:t>
      </w:r>
      <w:r>
        <w:rPr>
          <w:sz w:val="24"/>
        </w:rPr>
        <w:t>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pPr>
        <w:jc w:val="both"/>
      </w:pPr>
      <w:r>
        <w:rPr>
          <w:b/>
          <w:sz w:val="24"/>
        </w:rPr>
        <w:t>十、争议的解决：</w:t>
      </w:r>
    </w:p>
    <w:p>
      <w:pPr>
        <w:jc w:val="both"/>
      </w:pPr>
      <w:r>
        <w:rPr>
          <w:sz w:val="24"/>
        </w:rPr>
        <w:t>1.</w:t>
      </w:r>
      <w:r>
        <w:rPr>
          <w:sz w:val="24"/>
        </w:rPr>
        <w:t>合同履行过程中发生的任何争议，如双方未能通过友好协商解决，应向佛山市有管辖权的人民法院提起诉讼。</w:t>
      </w:r>
    </w:p>
    <w:p>
      <w:pPr>
        <w:jc w:val="both"/>
      </w:pPr>
      <w:r>
        <w:rPr>
          <w:sz w:val="24"/>
        </w:rPr>
        <w:t>2.</w:t>
      </w:r>
      <w:r>
        <w:rPr>
          <w:sz w:val="24"/>
        </w:rPr>
        <w:t>法院审理期间，除提交法院审理的事项外，其它无争议的事项和条款仍应继续履行。</w:t>
      </w:r>
    </w:p>
    <w:p>
      <w:pPr>
        <w:jc w:val="both"/>
      </w:pPr>
      <w:r>
        <w:rPr>
          <w:b/>
          <w:sz w:val="24"/>
        </w:rPr>
        <w:t>十一、不可抗力：</w:t>
      </w:r>
    </w:p>
    <w:p>
      <w:pPr>
        <w:ind w:firstLine="420"/>
        <w:jc w:val="both"/>
      </w:pPr>
      <w:r>
        <w:rPr>
          <w:sz w:val="24"/>
        </w:rPr>
        <w:t>任何一方由于不可抗力原因不能履行合同时，应在不可抗力事件结束后</w:t>
      </w:r>
      <w:r>
        <w:rPr>
          <w:sz w:val="24"/>
        </w:rPr>
        <w:t>48</w:t>
      </w:r>
      <w:r>
        <w:rPr>
          <w:sz w:val="24"/>
        </w:rPr>
        <w:t>小时内向对方通报，以减轻可能给对方造成的损失，在取得有关机构的不可抗力证明或双方谅解确认后，允许延期履行或修订合同，并根据情况可部分或全部免于承担违约责任。</w:t>
      </w:r>
    </w:p>
    <w:p>
      <w:pPr>
        <w:jc w:val="both"/>
      </w:pPr>
      <w:r>
        <w:rPr>
          <w:b/>
          <w:sz w:val="24"/>
        </w:rPr>
        <w:t>十二、税费：</w:t>
      </w:r>
    </w:p>
    <w:p>
      <w:pPr>
        <w:jc w:val="both"/>
      </w:pPr>
      <w:r>
        <w:rPr>
          <w:sz w:val="24"/>
        </w:rPr>
        <w:t>1.</w:t>
      </w:r>
      <w:r>
        <w:rPr>
          <w:sz w:val="24"/>
        </w:rPr>
        <w:t>本合同实施过程中所发生的一切税费及不可预见费均由乙方承担。</w:t>
      </w:r>
    </w:p>
    <w:p>
      <w:pPr>
        <w:jc w:val="both"/>
      </w:pPr>
      <w:r>
        <w:rPr>
          <w:sz w:val="24"/>
        </w:rPr>
        <w:t>2.</w:t>
      </w:r>
      <w:r>
        <w:rPr>
          <w:sz w:val="24"/>
        </w:rPr>
        <w:t>乙方依照税务规章优先在合同履约地开具发票及纳税，咨询：</w:t>
      </w:r>
      <w:r>
        <w:rPr>
          <w:sz w:val="24"/>
        </w:rPr>
        <w:t>0757-12366</w:t>
      </w:r>
      <w:r>
        <w:rPr>
          <w:sz w:val="24"/>
        </w:rPr>
        <w:t>。</w:t>
      </w:r>
    </w:p>
    <w:p>
      <w:pPr>
        <w:jc w:val="both"/>
      </w:pPr>
      <w:r>
        <w:rPr>
          <w:b/>
          <w:sz w:val="24"/>
        </w:rPr>
        <w:t>十三、合同生效与合同备案：</w:t>
      </w:r>
    </w:p>
    <w:p>
      <w:pPr>
        <w:jc w:val="both"/>
      </w:pPr>
      <w:r>
        <w:rPr>
          <w:sz w:val="24"/>
        </w:rPr>
        <w:t>1.</w:t>
      </w:r>
      <w:r>
        <w:rPr>
          <w:sz w:val="24"/>
        </w:rPr>
        <w:t>本合同在甲乙双方法人代表或其授权代表签字盖章后生效。</w:t>
      </w:r>
    </w:p>
    <w:p>
      <w:pPr>
        <w:jc w:val="both"/>
      </w:pPr>
      <w:r>
        <w:rPr>
          <w:sz w:val="24"/>
        </w:rPr>
        <w:t>2.</w:t>
      </w:r>
      <w:r>
        <w:rPr>
          <w:sz w:val="24"/>
        </w:rPr>
        <w:t>自采购合同签订之日起</w:t>
      </w:r>
      <w:r>
        <w:rPr>
          <w:sz w:val="24"/>
        </w:rPr>
        <w:t>7</w:t>
      </w:r>
      <w:r>
        <w:rPr>
          <w:sz w:val="24"/>
        </w:rPr>
        <w:t>个工作日内，由甲方按照有关规定将采购合同副本报同级人民政府财政部门（政府采购管理部门）备案。</w:t>
      </w:r>
    </w:p>
    <w:p>
      <w:pPr>
        <w:jc w:val="both"/>
      </w:pPr>
      <w:r>
        <w:rPr>
          <w:b/>
          <w:sz w:val="24"/>
        </w:rPr>
        <w:t>十四、乙方应提供的资料内容：</w:t>
      </w:r>
    </w:p>
    <w:p>
      <w:pPr>
        <w:jc w:val="both"/>
      </w:pPr>
      <w:r>
        <w:rPr>
          <w:sz w:val="21"/>
          <w:u w:val="single"/>
        </w:rPr>
        <w:t xml:space="preserve">                                                            </w:t>
      </w:r>
      <w:r>
        <w:rPr>
          <w:sz w:val="24"/>
        </w:rPr>
        <w:t>。</w:t>
      </w:r>
    </w:p>
    <w:p>
      <w:pPr>
        <w:jc w:val="both"/>
      </w:pPr>
      <w:r>
        <w:rPr>
          <w:b/>
          <w:sz w:val="24"/>
        </w:rPr>
        <w:t>十五、关于政府采购合同融资</w:t>
      </w:r>
    </w:p>
    <w:p>
      <w:pPr>
        <w:jc w:val="both"/>
      </w:pPr>
      <w:r>
        <w:rPr>
          <w:sz w:val="24"/>
        </w:rPr>
        <w:t>1.</w:t>
      </w:r>
      <w:r>
        <w:rPr>
          <w:sz w:val="24"/>
        </w:rPr>
        <w:t>乙方是否已申请政府采购合同融资：</w:t>
      </w:r>
      <w:r>
        <w:rPr>
          <w:sz w:val="24"/>
          <w:u w:val="single"/>
        </w:rPr>
        <w:t xml:space="preserve">  </w:t>
      </w:r>
      <w:r>
        <w:rPr>
          <w:sz w:val="24"/>
          <w:u w:val="single"/>
        </w:rPr>
        <w:t>是</w:t>
      </w:r>
      <w:r>
        <w:rPr>
          <w:sz w:val="24"/>
          <w:u w:val="single"/>
        </w:rPr>
        <w:t>/</w:t>
      </w:r>
      <w:r>
        <w:rPr>
          <w:sz w:val="24"/>
          <w:u w:val="single"/>
        </w:rPr>
        <w:t xml:space="preserve">否  </w:t>
      </w:r>
      <w:r>
        <w:rPr>
          <w:sz w:val="24"/>
        </w:rPr>
        <w:t>；</w:t>
      </w:r>
    </w:p>
    <w:p>
      <w:pPr>
        <w:jc w:val="both"/>
      </w:pPr>
      <w:r>
        <w:rPr>
          <w:sz w:val="24"/>
        </w:rPr>
        <w:t>2.</w:t>
      </w:r>
      <w:r>
        <w:rPr>
          <w:sz w:val="24"/>
        </w:rPr>
        <w:t>融资银行及联系方式：</w:t>
      </w:r>
      <w:r>
        <w:rPr>
          <w:sz w:val="21"/>
          <w:u w:val="single"/>
        </w:rPr>
        <w:t xml:space="preserve">                                                </w:t>
      </w:r>
      <w:r>
        <w:rPr>
          <w:sz w:val="24"/>
        </w:rPr>
        <w:t>。</w:t>
      </w:r>
    </w:p>
    <w:p>
      <w:pPr>
        <w:jc w:val="both"/>
      </w:pPr>
      <w:r>
        <w:rPr>
          <w:sz w:val="24"/>
        </w:rPr>
        <w:t>3.</w:t>
      </w:r>
      <w:r>
        <w:rPr>
          <w:sz w:val="24"/>
        </w:rPr>
        <w:t>若乙方已申请政府采购合同融资，其在本合同中登记的银行帐号应与金融机构签订融资协议中约定的融资回款账户一致，此账户作为政府采购融资合同资金回款的唯一账户，未获得融资银行同意，乙方不得随意变更</w:t>
      </w:r>
      <w:r>
        <w:rPr>
          <w:b/>
          <w:sz w:val="24"/>
        </w:rPr>
        <w:t>。</w:t>
      </w:r>
    </w:p>
    <w:p>
      <w:pPr>
        <w:jc w:val="both"/>
      </w:pPr>
      <w:r>
        <w:rPr>
          <w:b/>
          <w:sz w:val="24"/>
        </w:rPr>
        <w:t>十六、其它：</w:t>
      </w:r>
    </w:p>
    <w:p>
      <w:pPr>
        <w:jc w:val="both"/>
      </w:pPr>
      <w:r>
        <w:rPr>
          <w:sz w:val="24"/>
        </w:rPr>
        <w:t>1.</w:t>
      </w:r>
      <w:r>
        <w:rPr>
          <w:sz w:val="24"/>
        </w:rPr>
        <w:t>所有经一方或双方签署确认的文件（包括会议纪要、补充协议、往来信函）、采购文件、要约文件和响应承诺文件、合同附件及中标（成交）通知书均为本合同不可分割的有效组成部分，与本合同具有同等的法律效力和履约义务，其缔约生效日期为有效签署或盖章确认之日期。</w:t>
      </w:r>
    </w:p>
    <w:p>
      <w:pPr>
        <w:jc w:val="both"/>
      </w:pPr>
      <w:r>
        <w:rPr>
          <w:sz w:val="24"/>
        </w:rPr>
        <w:t>2.</w:t>
      </w:r>
      <w:r>
        <w:rPr>
          <w:sz w:val="24"/>
        </w:rPr>
        <w:t>如一方（包括联系人）地址、电话、传真号码有变更，应在变更后</w:t>
      </w:r>
      <w:r>
        <w:rPr>
          <w:sz w:val="24"/>
        </w:rPr>
        <w:t>3</w:t>
      </w:r>
      <w:r>
        <w:rPr>
          <w:sz w:val="24"/>
        </w:rPr>
        <w:t>个工作日内书面通知对方联系人或负责人，否则，因此造成的损失由未履行通知义务方承担相应责任。</w:t>
      </w:r>
    </w:p>
    <w:p>
      <w:pPr>
        <w:jc w:val="both"/>
      </w:pPr>
      <w:r>
        <w:rPr>
          <w:sz w:val="24"/>
        </w:rPr>
        <w:t>3.</w:t>
      </w:r>
      <w:r>
        <w:rPr>
          <w:sz w:val="24"/>
        </w:rPr>
        <w:t>未经甲方书面同意，乙方不得擅自向第三方转让其主体性和关键性合同义务。</w:t>
      </w:r>
    </w:p>
    <w:p>
      <w:pPr>
        <w:jc w:val="both"/>
      </w:pPr>
      <w:r>
        <w:rPr>
          <w:sz w:val="24"/>
        </w:rPr>
        <w:t>4.</w:t>
      </w:r>
      <w:r>
        <w:rPr>
          <w:sz w:val="24"/>
        </w:rPr>
        <w:t>本合同一式</w:t>
      </w:r>
      <w:r>
        <w:rPr>
          <w:sz w:val="21"/>
          <w:u w:val="single"/>
        </w:rPr>
        <w:t xml:space="preserve">    </w:t>
      </w:r>
      <w:r>
        <w:rPr>
          <w:sz w:val="24"/>
        </w:rPr>
        <w:t>份，甲方执</w:t>
      </w:r>
      <w:r>
        <w:rPr>
          <w:sz w:val="21"/>
          <w:u w:val="single"/>
        </w:rPr>
        <w:t xml:space="preserve">   </w:t>
      </w:r>
      <w:r>
        <w:rPr>
          <w:sz w:val="24"/>
        </w:rPr>
        <w:t>份，乙方执</w:t>
      </w:r>
      <w:r>
        <w:rPr>
          <w:sz w:val="21"/>
          <w:u w:val="single"/>
        </w:rPr>
        <w:t xml:space="preserve">   </w:t>
      </w:r>
      <w:r>
        <w:rPr>
          <w:sz w:val="24"/>
        </w:rPr>
        <w:t>份。</w:t>
      </w:r>
    </w:p>
    <w:p>
      <w:pPr>
        <w:jc w:val="both"/>
      </w:pPr>
      <w:r>
        <w:rPr>
          <w:sz w:val="24"/>
        </w:rPr>
        <w:t>5.</w:t>
      </w:r>
      <w:r>
        <w:rPr>
          <w:sz w:val="24"/>
        </w:rPr>
        <w:t>本合同（含附件）共计</w:t>
      </w:r>
      <w:r>
        <w:rPr>
          <w:sz w:val="21"/>
          <w:u w:val="single"/>
        </w:rPr>
        <w:t xml:space="preserve">    </w:t>
      </w:r>
      <w:r>
        <w:rPr>
          <w:sz w:val="24"/>
        </w:rPr>
        <w:t>页，缺页之合同为无效合同。</w:t>
      </w:r>
    </w:p>
    <w:p>
      <w:pPr>
        <w:jc w:val="both"/>
      </w:pPr>
      <w:r>
        <w:rPr>
          <w:sz w:val="24"/>
        </w:rPr>
        <w:t>6.</w:t>
      </w:r>
      <w:r>
        <w:rPr>
          <w:sz w:val="24"/>
        </w:rPr>
        <w:t>本合同签约履约地点：广东省佛山市。</w:t>
      </w:r>
    </w:p>
    <w:p>
      <w:pPr>
        <w:jc w:val="both"/>
      </w:pPr>
      <w:r>
        <w:rPr>
          <w:sz w:val="24"/>
        </w:rPr>
        <w:t>7.</w:t>
      </w:r>
      <w:r>
        <w:rPr>
          <w:sz w:val="24"/>
        </w:rPr>
        <w:t>本合同所指</w:t>
      </w:r>
      <w:r>
        <w:rPr>
          <w:sz w:val="24"/>
        </w:rPr>
        <w:t>“</w:t>
      </w:r>
      <w:r>
        <w:rPr>
          <w:sz w:val="24"/>
        </w:rPr>
        <w:t>书面通知</w:t>
      </w:r>
      <w:r>
        <w:rPr>
          <w:sz w:val="24"/>
        </w:rPr>
        <w:t>”</w:t>
      </w:r>
      <w:r>
        <w:rPr>
          <w:sz w:val="24"/>
        </w:rPr>
        <w:t>包括但不限于短信、电子邮件等数据电文的通知形式，到达时间以民事诉讼法的规定为准，但进行书面通知前后，通知方均有义务电话确认通知事项。</w:t>
      </w:r>
    </w:p>
    <w:p>
      <w:pPr>
        <w:jc w:val="both"/>
      </w:pPr>
      <w:r>
        <w:rPr>
          <w:sz w:val="24"/>
        </w:rPr>
        <w:t>8.</w:t>
      </w:r>
      <w:r>
        <w:rPr>
          <w:sz w:val="24"/>
        </w:rPr>
        <w:t>双方均已对以上各条款及附件作充分了解，并明确理解由此而产生的相关权责。</w:t>
      </w:r>
    </w:p>
    <w:p>
      <w:pPr>
        <w:jc w:val="both"/>
      </w:pPr>
    </w:p>
    <w:tbl>
      <w:tblPr>
        <w:tblW w:w="0" w:type="auto"/>
        <w:tblBorders>
          <w:top w:val="none" w:color="000000" w:sz="4"/>
          <w:left w:val="none" w:color="000000" w:sz="4"/>
          <w:bottom w:val="none" w:color="000000" w:sz="4"/>
          <w:right w:val="none" w:color="000000" w:sz="4"/>
          <w:insideH w:val="none"/>
          <w:insideV w:val="none"/>
        </w:tblBorders>
      </w:tblPr>
      <w:tblGrid>
        <w:gridCol w:w="4123"/>
        <w:gridCol w:w="3875"/>
        <w:gridCol w:w="292"/>
      </w:tblGrid>
      <w:tr>
        <w:tc>
          <w:tcPr>
            <w:tcW w:type="dxa" w:w="4123"/>
            <w:tcBorders>
              <w:top w:val="none" w:color="000000" w:sz="4"/>
              <w:left w:val="none" w:color="000000" w:sz="4"/>
              <w:bottom w:val="none" w:color="000000" w:sz="4"/>
              <w:right w:val="dashed" w:color="000000" w:sz="4"/>
            </w:tcBorders>
            <w:vAlign w:val="top"/>
          </w:tcPr>
          <w:p>
            <w:pPr>
              <w:jc w:val="both"/>
            </w:pPr>
            <w:r>
              <w:rPr>
                <w:b/>
                <w:sz w:val="21"/>
              </w:rPr>
              <w:t>甲方（盖章）：</w:t>
            </w:r>
          </w:p>
          <w:p>
            <w:pPr>
              <w:jc w:val="both"/>
            </w:pPr>
            <w:r>
              <w:rPr>
                <w:sz w:val="21"/>
              </w:rPr>
              <w:t>代表：</w:t>
            </w:r>
            <w:r>
              <w:rPr>
                <w:sz w:val="21"/>
                <w:u w:val="single"/>
              </w:rPr>
              <w:t xml:space="preserve">                              </w:t>
            </w:r>
            <w:r>
              <w:rPr>
                <w:sz w:val="21"/>
              </w:rPr>
              <w:t xml:space="preserve"> </w:t>
            </w:r>
          </w:p>
          <w:p>
            <w:pPr>
              <w:jc w:val="both"/>
            </w:pPr>
            <w:r>
              <w:rPr>
                <w:sz w:val="21"/>
              </w:rPr>
              <w:t>地址：</w:t>
            </w:r>
          </w:p>
          <w:p>
            <w:pPr>
              <w:jc w:val="both"/>
            </w:pPr>
            <w:r>
              <w:rPr>
                <w:sz w:val="21"/>
              </w:rPr>
              <w:t>电话：</w:t>
            </w:r>
          </w:p>
          <w:p>
            <w:pPr>
              <w:jc w:val="both"/>
            </w:pPr>
            <w:r>
              <w:rPr>
                <w:sz w:val="21"/>
              </w:rPr>
              <w:t>传真：</w:t>
            </w:r>
          </w:p>
          <w:p>
            <w:pPr>
              <w:jc w:val="both"/>
            </w:pP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p>
        </w:tc>
        <w:tc>
          <w:tcPr>
            <w:tcW w:type="dxa" w:w="3875"/>
            <w:tcBorders>
              <w:top w:val="none" w:color="000000" w:sz="4"/>
              <w:left w:val="none" w:color="000000" w:sz="4"/>
              <w:bottom w:val="none" w:color="000000" w:sz="4"/>
              <w:right w:val="none" w:color="000000" w:sz="4"/>
            </w:tcBorders>
            <w:vAlign w:val="top"/>
          </w:tcPr>
          <w:p>
            <w:pPr>
              <w:jc w:val="both"/>
            </w:pPr>
            <w:r>
              <w:rPr>
                <w:b/>
                <w:sz w:val="21"/>
              </w:rPr>
              <w:t>乙方（盖章）：</w:t>
            </w:r>
          </w:p>
          <w:p>
            <w:pPr>
              <w:jc w:val="both"/>
            </w:pPr>
            <w:r>
              <w:rPr>
                <w:sz w:val="21"/>
              </w:rPr>
              <w:t>代表：</w:t>
            </w:r>
            <w:r>
              <w:rPr>
                <w:sz w:val="21"/>
                <w:u w:val="single"/>
              </w:rPr>
              <w:t xml:space="preserve">                           </w:t>
            </w:r>
          </w:p>
          <w:p>
            <w:pPr>
              <w:jc w:val="both"/>
            </w:pPr>
            <w:r>
              <w:rPr>
                <w:sz w:val="21"/>
              </w:rPr>
              <w:t>地址：</w:t>
            </w:r>
          </w:p>
          <w:p>
            <w:pPr>
              <w:jc w:val="both"/>
            </w:pPr>
            <w:r>
              <w:rPr>
                <w:sz w:val="21"/>
              </w:rPr>
              <w:t>电话：</w:t>
            </w:r>
          </w:p>
          <w:p>
            <w:pPr>
              <w:jc w:val="both"/>
            </w:pPr>
            <w:r>
              <w:rPr>
                <w:sz w:val="21"/>
              </w:rPr>
              <w:t>传真：</w:t>
            </w:r>
          </w:p>
          <w:p>
            <w:pPr>
              <w:jc w:val="both"/>
            </w:pP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p>
        </w:tc>
        <w:tc>
          <w:tcPr>
            <w:tcW w:type="dxa" w:w="292"/>
            <w:tcBorders>
              <w:top w:val="none" w:color="000000" w:sz="4"/>
              <w:left w:val="none" w:color="000000" w:sz="4"/>
              <w:bottom w:val="none" w:color="000000" w:sz="4"/>
              <w:right w:val="none" w:color="000000" w:sz="4"/>
            </w:tcBorders>
            <w:vAlign w:val="top"/>
          </w:tcPr>
          <w:p>
            <w:pPr>
              <w:jc w:val="both"/>
            </w:pPr>
            <w:r>
              <w:rPr>
                <w:sz w:val="21"/>
              </w:rPr>
              <w:t xml:space="preserve"> </w:t>
            </w:r>
          </w:p>
        </w:tc>
      </w:tr>
    </w:tbl>
    <w:p>
      <w:pPr>
        <w:jc w:val="both"/>
      </w:pPr>
    </w:p>
    <w:p>
      <w:pPr>
        <w:jc w:val="both"/>
      </w:pPr>
      <w:r>
        <w:rPr>
          <w:b/>
          <w:sz w:val="24"/>
        </w:rPr>
        <w:t>合同附件清单：</w:t>
      </w:r>
    </w:p>
    <w:p>
      <w:pPr>
        <w:jc w:val="both"/>
      </w:pPr>
      <w:r>
        <w:rPr>
          <w:b/>
          <w:sz w:val="21"/>
        </w:rPr>
        <w:t>附件一、《报价清单明细表》</w:t>
      </w:r>
    </w:p>
    <w:p>
      <w:pPr>
        <w:jc w:val="left"/>
      </w:pPr>
    </w:p>
    <w:p>
      <w:pPr>
        <w:jc w:val="both"/>
      </w:pPr>
    </w:p>
    <w:p>
      <w:pPr>
        <w:jc w:val="both"/>
      </w:pPr>
    </w:p>
    <w:p>
      <w:pPr>
        <w:ind w:firstLine="480"/>
        <w:jc w:val="both"/>
      </w:pPr>
    </w:p>
    <w:p>
      <w:pPr>
        <w:jc w:val="both"/>
      </w:pPr>
      <w:r>
        <w:rPr>
          <w:sz w:val="21"/>
        </w:rPr>
        <w:t xml:space="preserve"> </w:t>
      </w:r>
    </w:p>
    <w:p>
      <w:pPr>
        <w:jc w:val="both"/>
      </w:pPr>
    </w:p>
    <w:p>
      <w:pPr>
        <w:jc w:val="both"/>
      </w:pPr>
    </w:p>
    <w:p/>
    <w:p>
      <w:r>
        <w:rPr/>
        <w:t xml:space="preserve"> </w:t>
      </w:r>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440605-2023-10119</w:t>
      </w:r>
    </w:p>
    <w:p>
      <w:pPr>
        <w:jc w:val="center"/>
      </w:pPr>
      <w:r>
        <w:rPr>
          <w:b/>
          <w:sz w:val="24"/>
        </w:rPr>
        <w:t>采购项目编号：</w:t>
      </w:r>
      <w:r>
        <w:rPr>
          <w:b/>
          <w:sz w:val="24"/>
        </w:rPr>
        <w:t>LSZFCG2023031</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十四、联合体共同响应协议书</w:t>
      </w:r>
    </w:p>
    <w:p>
      <w:pPr>
        <w:ind w:firstLine="480"/>
      </w:pPr>
      <w:r>
        <w:rPr/>
        <w:t>十五、供应商业绩情况表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r>
        <w:rPr/>
        <w:t>二十五、政府采购履约担保函、采购合同履约保险凭证</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广东嘉燊咨询有限公司</w:t>
      </w:r>
    </w:p>
    <w:p>
      <w:pPr>
        <w:ind w:firstLine="480"/>
      </w:pPr>
      <w:r>
        <w:rPr/>
        <w:t>你方组织的</w:t>
      </w:r>
      <w:r>
        <w:rPr>
          <w:u w:val="single"/>
        </w:rPr>
        <w:t>“</w:t>
      </w:r>
      <w:r>
        <w:rPr>
          <w:u w:val="single"/>
        </w:rPr>
        <w:t>健促员服务外包项目</w:t>
      </w:r>
      <w:r>
        <w:rPr>
          <w:u w:val="single"/>
        </w:rPr>
        <w:t>”</w:t>
      </w:r>
      <w:r>
        <w:rPr/>
        <w:t>项目的竞争性磋商[采购项目编号为：</w:t>
      </w:r>
      <w:r>
        <w:rPr>
          <w:u w:val="single"/>
        </w:rPr>
        <w:t>LSZFCG2023031</w:t>
      </w:r>
      <w:r>
        <w:rPr/>
        <w:t>]，我方愿参与响应。</w:t>
      </w:r>
    </w:p>
    <w:p>
      <w:pPr>
        <w:ind w:firstLine="480"/>
      </w:pPr>
      <w:r>
        <w:rPr/>
        <w:t>我方确认收到贵方提供的</w:t>
      </w:r>
      <w:r>
        <w:rPr>
          <w:u w:val="single"/>
        </w:rPr>
        <w:t>“</w:t>
      </w:r>
      <w:r>
        <w:rPr>
          <w:u w:val="single"/>
        </w:rPr>
        <w:t>健促员服务外包项目</w:t>
      </w:r>
      <w:r>
        <w:rPr>
          <w:u w:val="single"/>
        </w:rPr>
        <w:t>”</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（九）我方接受采购人委托向贵方支付代理服务费，项目总报价已包含代理服务费，如果被确定为成交供应商，承诺向贵方足额支付。（若采购人支付代理服务费，则此条不适用）</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（十三）我方承诺遵守《中华人民共和国劳动合同法》有关规定和《中华人民共和国妇女权益保障法》中关于“劳动和社会保障权益”的有关要求。</w:t>
      </w:r>
    </w:p>
    <w:p>
      <w:pPr>
        <w:ind w:firstLine="480"/>
      </w:pPr>
      <w:r>
        <w:rPr/>
        <w:t>（十四）我方具备《中华人民共和国政府采购法》第二十二条规定的条件，承诺如下：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（十五）我方对在本函及响应文件中所作的所有承诺承担法律责任。</w:t>
      </w:r>
    </w:p>
    <w:p>
      <w:pPr>
        <w:ind w:firstLine="480"/>
      </w:pPr>
      <w:r>
        <w:rPr/>
        <w:t>（十六）所有与本磋商有关的函件请发往下列地址：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广东嘉燊咨询有限公司</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健促员服务外包项目</w:t>
      </w:r>
      <w:r>
        <w:rPr/>
        <w:t>”项目采购[采购项目编号为</w:t>
      </w:r>
      <w:r>
        <w:rPr/>
        <w:t>LSZFCG2023031</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佛山市南海区里水镇社区卫生服务中心</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格式二十：</w:t>
      </w:r>
    </w:p>
    <w:p>
      <w:pPr>
        <w:ind w:firstLine="480"/>
      </w:pPr>
      <w:r>
        <w:rPr/>
        <w:t>（若采购人支付代理服务费，则无需出具此承诺书）</w:t>
      </w:r>
    </w:p>
    <w:p>
      <w:pPr>
        <w:jc w:val="center"/>
      </w:pPr>
      <w:r>
        <w:rPr>
          <w:b/>
          <w:sz w:val="24"/>
        </w:rPr>
        <w:t>代理服务费缴纳承诺函</w:t>
      </w:r>
    </w:p>
    <w:p>
      <w:pPr>
        <w:ind w:firstLine="480"/>
      </w:pPr>
      <w:r>
        <w:rPr/>
        <w:t>致：</w:t>
      </w:r>
      <w:r>
        <w:rPr/>
        <w:t>广东嘉燊咨询有限公司</w:t>
      </w:r>
    </w:p>
    <w:p>
      <w:pPr>
        <w:ind w:firstLine="480"/>
      </w:pPr>
      <w:r>
        <w:rPr/>
        <w:t>我单位参加贵公司组织的</w:t>
      </w:r>
      <w:r>
        <w:rPr/>
        <w:t>健促员服务外包项目</w:t>
      </w:r>
      <w:r>
        <w:rPr/>
        <w:t>（采购项目编号：</w:t>
      </w:r>
      <w:r>
        <w:rPr/>
        <w:t>LSZFCG2023031</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3、如我公司被选为成交供应商，在成交结果公示后3日内向采购代理机构指定账户缴付代理服务费。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广东嘉燊咨询有限公司</w:t>
      </w:r>
    </w:p>
    <w:p>
      <w:pPr>
        <w:ind w:firstLine="480"/>
      </w:pPr>
      <w:r>
        <w:rPr/>
        <w:t>我单位已登记并准备参与“</w:t>
      </w:r>
      <w:r>
        <w:rPr/>
        <w:t>健促员服务外包项目</w:t>
      </w:r>
      <w:r>
        <w:rPr/>
        <w:t>”项目（采购项目编号：</w:t>
      </w:r>
      <w:r>
        <w:rPr/>
        <w:t>LSZFCG2023031</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ind w:firstLine="480"/>
      </w:pPr>
    </w:p>
    <w:p>
      <w:r>
        <w:rPr/>
        <w:t xml:space="preserve"> </w:t>
      </w:r>
    </w:p>
    <w:p/>
    <w:p>
      <w:r>
        <w:rPr>
          <w:b/>
          <w:sz w:val="28"/>
        </w:rPr>
        <w:t>格式二十五：</w:t>
      </w:r>
    </w:p>
    <w:p>
      <w:pPr>
        <w:jc w:val="center"/>
      </w:pPr>
      <w:r>
        <w:rPr>
          <w:b/>
          <w:sz w:val="24"/>
        </w:rPr>
        <w:t>政府采购履约担保函</w:t>
      </w:r>
    </w:p>
    <w:p>
      <w:r>
        <w:rPr/>
        <w:t>编号：</w:t>
      </w:r>
    </w:p>
    <w:p>
      <w:pPr>
        <w:ind w:firstLine="480"/>
      </w:pPr>
      <w:r>
        <w:rPr/>
        <w:t>（采购人）：</w:t>
      </w:r>
    </w:p>
    <w:p>
      <w:pPr>
        <w:ind w:firstLine="480"/>
      </w:pPr>
      <w:r>
        <w:rP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ind w:firstLine="480"/>
      </w:pPr>
      <w:r>
        <w:rPr/>
        <w:t>一、保证金额</w:t>
      </w:r>
    </w:p>
    <w:p>
      <w:pPr>
        <w:ind w:firstLine="480"/>
      </w:pPr>
      <w:r>
        <w:rPr/>
        <w:t>我方的保证范围是主合同约定的合同价款总额的___%，数额为__________（大写），币种为</w:t>
      </w:r>
      <w:r>
        <w:rPr>
          <w:u w:val="single"/>
        </w:rPr>
        <w:t>人民币</w:t>
      </w:r>
      <w:r>
        <w:rPr/>
        <w:t>（即主合同履约保证金金额）。</w:t>
      </w:r>
    </w:p>
    <w:p>
      <w:pPr>
        <w:ind w:firstLine="480"/>
      </w:pPr>
      <w:r>
        <w:rPr/>
        <w:t>二、我方保证的方式为：连带责任保证。</w:t>
      </w:r>
    </w:p>
    <w:p>
      <w:pPr>
        <w:ind w:firstLine="480"/>
      </w:pPr>
      <w:r>
        <w:rPr/>
        <w:t>三、我方保证的期间为：本保函自开立之日起生效，至  年  月  日止。</w:t>
      </w:r>
    </w:p>
    <w:p>
      <w:pPr>
        <w:ind w:firstLine="480"/>
      </w:pPr>
      <w:r>
        <w:rPr/>
        <w:t>四、在本保函的有效期内，如被保证人违反上述合同或协议约定的义务，我方将在收到你方提交的本保函文件及符合下列全部条件的索赔通知后</w:t>
      </w:r>
      <w:r>
        <w:rPr>
          <w:u w:val="single"/>
        </w:rPr>
        <w:t>30</w:t>
      </w:r>
      <w:r>
        <w:rPr/>
        <w:t>个工作日内以上述保证金额为限支付你方索赔金额:</w:t>
      </w:r>
    </w:p>
    <w:p>
      <w:pPr>
        <w:ind w:firstLine="480"/>
      </w:pPr>
      <w:r>
        <w:rPr/>
        <w:t>(一)索赔通知文件必须以书面形式提出，列明索赔金额，并由你方法定代表人(负责人)或授权代理人签字并加盖公章;</w:t>
      </w:r>
    </w:p>
    <w:p>
      <w:pPr>
        <w:ind w:firstLine="480"/>
      </w:pPr>
      <w:r>
        <w:rPr/>
        <w:t>(二)索赔通知文件必须同时附有:</w:t>
      </w:r>
    </w:p>
    <w:p>
      <w:pPr>
        <w:ind w:firstLine="480"/>
      </w:pPr>
      <w:r>
        <w:rPr/>
        <w:t>1.一项书面声明，声明索赔款项并未由被保证人或其代理人直接或间接地支付给你方;</w:t>
      </w:r>
    </w:p>
    <w:p>
      <w:pPr>
        <w:ind w:firstLine="480"/>
      </w:pPr>
      <w:r>
        <w:rPr/>
        <w:t>2.证明被保证人违反上述合同或协议约定的义务以及有责任支付你方索赔金额的证据。</w:t>
      </w:r>
    </w:p>
    <w:p>
      <w:pPr>
        <w:ind w:firstLine="480"/>
      </w:pPr>
      <w:r>
        <w:rPr/>
        <w:t>(三)索赔通知文件必须在本保函有效期内到达以下地址：</w:t>
      </w:r>
    </w:p>
    <w:p>
      <w:pPr>
        <w:ind w:firstLine="480"/>
      </w:pPr>
      <w:r>
        <w:rPr/>
        <w:t>__________________________________________________。</w:t>
      </w:r>
    </w:p>
    <w:p>
      <w:pPr>
        <w:ind w:firstLine="480"/>
      </w:pPr>
      <w:r>
        <w:rPr/>
        <w:t>五、本保函保证金额将随被保证人逐步履行保函项下合同约定或法定的义务以及我方按你方索赔通知文件要求分次支付而相应递减。</w:t>
      </w:r>
    </w:p>
    <w:p>
      <w:pPr>
        <w:ind w:firstLine="480"/>
      </w:pPr>
      <w:r>
        <w:rPr/>
        <w:t>六、本保函项下的权利不得转让，不得设定担保。受益人未经我方书面同意转让本保函或其项下任何权利，我方在本保函项下的义务与责任全部消灭。</w:t>
      </w:r>
    </w:p>
    <w:p>
      <w:pPr>
        <w:ind w:firstLine="480"/>
      </w:pPr>
      <w:r>
        <w:rPr/>
        <w:t>七、本保函项下的合同或基础交易不成立、不生效、无效、被撤销、被解除，本保函无效;被保证人基于保函项下的合同或基础交易或其他原因的抗辩，我方均有权主张。</w:t>
      </w:r>
    </w:p>
    <w:p>
      <w:pPr>
        <w:ind w:firstLine="480"/>
      </w:pPr>
      <w:r>
        <w:rPr/>
        <w:t>八、因本保函发生争议协商解决不成，按以下第</w:t>
      </w:r>
      <w:r>
        <w:rPr>
          <w:u w:val="single"/>
        </w:rPr>
        <w:t>(一)</w:t>
      </w:r>
      <w:r>
        <w:rPr/>
        <w:t>种方式解决:</w:t>
      </w:r>
    </w:p>
    <w:p>
      <w:pPr>
        <w:ind w:firstLine="480"/>
      </w:pPr>
      <w:r>
        <w:rPr/>
        <w:t>(一)向我方所在地的人民法院起诉。</w:t>
      </w:r>
    </w:p>
    <w:p>
      <w:pPr>
        <w:ind w:firstLine="480"/>
      </w:pPr>
      <w:r>
        <w:rPr/>
        <w:t>(二)提交</w:t>
      </w:r>
      <w:r>
        <w:rPr>
          <w:u w:val="single"/>
        </w:rPr>
        <w:t>此栏空白</w:t>
      </w:r>
      <w:r>
        <w:rPr/>
        <w:t>仲裁委员会(仲裁地点为此栏空白)按照申请仲裁时该会现行有效的仲裁规则进行仲裁。仲裁裁决是终局的，对双方均有约束力。</w:t>
      </w:r>
    </w:p>
    <w:p>
      <w:pPr>
        <w:ind w:firstLine="480"/>
      </w:pPr>
      <w:r>
        <w:rPr/>
        <w:t>九、本保函适用中华人民共和国法律。</w:t>
      </w:r>
    </w:p>
    <w:p>
      <w:pPr>
        <w:ind w:firstLine="480"/>
      </w:pPr>
      <w:r>
        <w:rPr/>
        <w:t>十、其他条款:</w:t>
      </w:r>
    </w:p>
    <w:p>
      <w:pPr>
        <w:ind w:firstLine="480"/>
      </w:pPr>
      <w:r>
        <w:rPr/>
        <w:t>1.本保函有效期届满或提前终止，本保函自动失效，我方在本保函项下的义务与责任自动全部消灭，此后提出的任何索赔均为无效索赔，我方无义务作出任何赔付。</w:t>
      </w:r>
    </w:p>
    <w:p>
      <w:pPr>
        <w:ind w:firstLine="480"/>
      </w:pPr>
      <w:r>
        <w:rPr/>
        <w:t>2.所有索赔通知必须在我方工作时间内到达本保函规定的地址。</w:t>
      </w:r>
    </w:p>
    <w:p>
      <w:pPr>
        <w:ind w:firstLine="480"/>
      </w:pPr>
      <w:r>
        <w:rPr/>
        <w:t>十一、本保函自我方盖章之日起生效。</w:t>
      </w:r>
    </w:p>
    <w:p>
      <w:r>
        <w:rPr/>
        <w:t>保证人：___________(盖章)</w:t>
      </w:r>
    </w:p>
    <w:p>
      <w:r>
        <w:rPr/>
        <w:t>联系地址：_______________</w:t>
      </w:r>
    </w:p>
    <w:p>
      <w:r>
        <w:rPr/>
        <w:t>联系电话：_______________</w:t>
      </w:r>
    </w:p>
    <w:p>
      <w:r>
        <w:rPr/>
        <w:t>开立日期：___年___月___日</w:t>
      </w:r>
    </w:p>
    <w:p>
      <w:pPr>
        <w:jc w:val="center"/>
      </w:pPr>
      <w:r>
        <w:rPr>
          <w:b/>
          <w:sz w:val="24"/>
        </w:rPr>
        <w:t>采购合同履约保险凭证</w:t>
      </w:r>
    </w:p>
    <w:p>
      <w:r>
        <w:rPr/>
        <w:t>致被保险人__________：</w:t>
      </w:r>
    </w:p>
    <w:p>
      <w:pPr>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ind w:firstLine="480"/>
      </w:pPr>
      <w:r>
        <w:rPr/>
        <w:t>一、我公司对上述采购项目出具的《采购合同履约保证保险》保单号：</w:t>
      </w:r>
    </w:p>
    <w:p>
      <w:pPr>
        <w:ind w:firstLine="480"/>
      </w:pPr>
      <w:r>
        <w:rPr/>
        <w:t>二、上述保单项下我公司的保险金额（最高限额）：人民币           （￥：  元）</w:t>
      </w:r>
    </w:p>
    <w:p>
      <w:pPr>
        <w:ind w:firstLine="480"/>
      </w:pPr>
      <w:r>
        <w:rPr/>
        <w:t>上述全部保险单的保险金额随投保人逐步履行采购合同约定的义务或我公司的赔付而递减。</w:t>
      </w:r>
    </w:p>
    <w:p>
      <w:pPr>
        <w:ind w:firstLine="480"/>
      </w:pPr>
      <w:r>
        <w:rPr/>
        <w:t>三、本保险的保险期间自____年___月___日___时起至___年___月___日___时止，共计___天。</w:t>
      </w:r>
    </w:p>
    <w:p>
      <w:pPr>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rPr/>
        <w:t>个工作日内以上述保险金额为限，支付你方索赔金额。</w:t>
      </w:r>
    </w:p>
    <w:p>
      <w:pPr>
        <w:ind w:firstLine="480"/>
      </w:pPr>
      <w:r>
        <w:rPr/>
        <w:t>（一）投保人未按照采购合同约定的时间、地点交付采购标的；</w:t>
      </w:r>
    </w:p>
    <w:p>
      <w:pPr>
        <w:ind w:firstLine="480"/>
      </w:pPr>
      <w:r>
        <w:rPr/>
        <w:t>（二）投保人供应采购标的的规格、型号、数量、质量等不符合《采购合同》的约定。</w:t>
      </w:r>
    </w:p>
    <w:p>
      <w:pPr>
        <w:ind w:firstLine="480"/>
      </w:pPr>
      <w:r>
        <w:rPr/>
        <w:t>五、索赔文件</w:t>
      </w:r>
    </w:p>
    <w:p>
      <w:pPr>
        <w:ind w:firstLine="480"/>
      </w:pPr>
      <w:r>
        <w:rPr/>
        <w:t>（一）经被保险人有权人签字、加盖被保险人公章的书面索赔声明正本，索赔声明须注明本保险凭证对应的保单号并申明如下事实：</w:t>
      </w:r>
    </w:p>
    <w:p>
      <w:pPr>
        <w:ind w:firstLine="480"/>
      </w:pPr>
      <w:r>
        <w:rPr/>
        <w:t>（1）投保人未履行采购合同相关义务；</w:t>
      </w:r>
    </w:p>
    <w:p>
      <w:pPr>
        <w:ind w:firstLine="480"/>
      </w:pPr>
      <w:r>
        <w:rPr/>
        <w:t>（2）投保人的违约事实。</w:t>
      </w:r>
    </w:p>
    <w:p>
      <w:pPr>
        <w:ind w:firstLine="480"/>
      </w:pPr>
      <w:r>
        <w:rPr/>
        <w:t>（二）保险单正本；</w:t>
      </w:r>
    </w:p>
    <w:p>
      <w:pPr>
        <w:ind w:firstLine="480"/>
      </w:pPr>
      <w:r>
        <w:rPr/>
        <w:t>（三）《采购合同》副本及与采购项目进展、质量、缺陷有关的证明文件（包括《中标通知书》、投标书及其附录、会议纪要、其他合同文件等）；</w:t>
      </w:r>
    </w:p>
    <w:p>
      <w:pPr>
        <w:ind w:firstLine="480"/>
      </w:pPr>
      <w:r>
        <w:rPr/>
        <w:t>（四）保险人要求投保人、被保险人所能提供的与确认保险事故的性质、原因、损失程度等有关的其他证明和资料；</w:t>
      </w:r>
    </w:p>
    <w:p>
      <w:pPr>
        <w:ind w:firstLine="480"/>
      </w:pPr>
      <w:r>
        <w:rPr/>
        <w:t>（五）仲裁机构出具的裁决书或法院出具的裁定书、判决书等生效法律文书（适用于仲裁或诉讼确认损失的方式）；</w:t>
      </w:r>
    </w:p>
    <w:p>
      <w:pPr>
        <w:ind w:firstLine="480"/>
      </w:pPr>
      <w:r>
        <w:rPr/>
        <w:t>六、未经保险人书面同意，本保险凭证与保险合同不得转让、质押，否则保险人在本保险凭证与保险合同项下的保险责任自动解除。</w:t>
      </w:r>
    </w:p>
    <w:p>
      <w:pPr>
        <w:ind w:firstLine="480"/>
      </w:pPr>
      <w:r>
        <w:rPr/>
        <w:t>七、本保证保险发生争议协商解决不成，向保险人所在地有管辖权的人民法院提起诉讼。</w:t>
      </w:r>
    </w:p>
    <w:p>
      <w:pPr>
        <w:ind w:firstLine="480"/>
      </w:pPr>
      <w:r>
        <w:rPr/>
        <w:t>八、本保证保险适用的保险条款为《_______________________》。</w:t>
      </w:r>
    </w:p>
    <w:p>
      <w:pPr>
        <w:ind w:firstLine="480"/>
      </w:pPr>
      <w:r>
        <w:rPr/>
        <w:t>九、保险责任免除及其他本保险凭证未载明事宜以保险合同约定为准。</w:t>
      </w:r>
    </w:p>
    <w:p>
      <w:pPr>
        <w:ind w:firstLine="480"/>
      </w:pPr>
      <w:r>
        <w:rPr/>
        <w:t>十、本保险凭证自保险人加盖保单专用章起生效。</w:t>
      </w:r>
    </w:p>
    <w:p>
      <w:r>
        <w:rPr/>
        <w:t>保证人：__________(盖章)</w:t>
      </w:r>
    </w:p>
    <w:p>
      <w:r>
        <w:rPr/>
        <w:t>地址：__________________</w:t>
      </w:r>
    </w:p>
    <w:p>
      <w:r>
        <w:rPr/>
        <w:t>电话：__________________</w:t>
      </w:r>
    </w:p>
    <w:p>
      <w:r>
        <w:rPr/>
        <w:t>开立日期：____年__月__日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